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28E6AA" w14:textId="4F88FE8B" w:rsidR="00F44AAE" w:rsidRPr="00570770" w:rsidRDefault="00B4183E" w:rsidP="00F44AAE">
      <w:pPr>
        <w:rPr>
          <w:rFonts w:ascii="Arial" w:hAnsi="Arial" w:cs="Arial"/>
          <w:b/>
          <w:bCs/>
        </w:rPr>
      </w:pPr>
      <w:r>
        <w:rPr>
          <w:rFonts w:ascii="Arial" w:hAnsi="Arial" w:cs="Arial"/>
          <w:b/>
          <w:bCs/>
        </w:rPr>
        <w:t>Metabolite tracking by aqueous Fourier-transform infrared spectroscopy</w:t>
      </w:r>
    </w:p>
    <w:p w14:paraId="4B25E1E5" w14:textId="3BB8C2E8" w:rsidR="00F44AAE" w:rsidRPr="00570770" w:rsidRDefault="00F44AAE" w:rsidP="00F44AAE">
      <w:pPr>
        <w:rPr>
          <w:rFonts w:ascii="Arial" w:hAnsi="Arial" w:cs="Arial"/>
        </w:rPr>
      </w:pPr>
      <w:r w:rsidRPr="00570770">
        <w:rPr>
          <w:rFonts w:ascii="Arial" w:hAnsi="Arial" w:cs="Arial"/>
        </w:rPr>
        <w:t>Keywords: s</w:t>
      </w:r>
      <w:r w:rsidR="00B4183E">
        <w:rPr>
          <w:rFonts w:ascii="Arial" w:hAnsi="Arial" w:cs="Arial"/>
        </w:rPr>
        <w:t>pectroscopy</w:t>
      </w:r>
      <w:r w:rsidRPr="00570770">
        <w:rPr>
          <w:rFonts w:ascii="Arial" w:hAnsi="Arial" w:cs="Arial"/>
        </w:rPr>
        <w:t xml:space="preserve">, </w:t>
      </w:r>
      <w:r w:rsidR="00B4183E">
        <w:rPr>
          <w:rFonts w:ascii="Arial" w:hAnsi="Arial" w:cs="Arial"/>
        </w:rPr>
        <w:t>analytical chemistry, FTIR, synthetic biology</w:t>
      </w:r>
    </w:p>
    <w:p w14:paraId="7F8CE48D" w14:textId="77777777" w:rsidR="00F44AAE" w:rsidRDefault="00F44AAE">
      <w:pPr>
        <w:rPr>
          <w:rFonts w:ascii="Arial" w:hAnsi="Arial" w:cs="Arial"/>
          <w:b/>
          <w:bCs/>
        </w:rPr>
      </w:pPr>
    </w:p>
    <w:p w14:paraId="41531E98" w14:textId="613669FC" w:rsidR="008932E7" w:rsidRPr="00C4520A" w:rsidRDefault="00C4520A">
      <w:pPr>
        <w:rPr>
          <w:rFonts w:ascii="Arial" w:hAnsi="Arial" w:cs="Arial"/>
        </w:rPr>
      </w:pPr>
      <w:r w:rsidRPr="00C4520A">
        <w:rPr>
          <w:rFonts w:ascii="Arial" w:hAnsi="Arial" w:cs="Arial"/>
          <w:b/>
          <w:bCs/>
        </w:rPr>
        <w:t xml:space="preserve">Background: </w:t>
      </w:r>
    </w:p>
    <w:p w14:paraId="6EFBF207" w14:textId="6B773CE8" w:rsidR="00524E30" w:rsidRDefault="00B4183E" w:rsidP="00BB16F8">
      <w:pPr>
        <w:jc w:val="both"/>
        <w:rPr>
          <w:rFonts w:ascii="Arial" w:hAnsi="Arial" w:cs="Arial"/>
        </w:rPr>
      </w:pPr>
      <w:r>
        <w:rPr>
          <w:rFonts w:ascii="Arial" w:hAnsi="Arial" w:cs="Arial"/>
        </w:rPr>
        <w:t xml:space="preserve">Fourier-transform infrared spectroscopy (FTIR) </w:t>
      </w:r>
      <w:r w:rsidR="00664765">
        <w:rPr>
          <w:rFonts w:ascii="Arial" w:hAnsi="Arial" w:cs="Arial"/>
        </w:rPr>
        <w:t>can rapidly</w:t>
      </w:r>
      <w:r w:rsidR="005552DD">
        <w:rPr>
          <w:rFonts w:ascii="Arial" w:hAnsi="Arial" w:cs="Arial"/>
        </w:rPr>
        <w:t xml:space="preserve"> quantif</w:t>
      </w:r>
      <w:r w:rsidR="00664765">
        <w:rPr>
          <w:rFonts w:ascii="Arial" w:hAnsi="Arial" w:cs="Arial"/>
        </w:rPr>
        <w:t>y the concentration</w:t>
      </w:r>
      <w:r w:rsidR="005552DD">
        <w:rPr>
          <w:rFonts w:ascii="Arial" w:hAnsi="Arial" w:cs="Arial"/>
        </w:rPr>
        <w:t xml:space="preserve"> of</w:t>
      </w:r>
      <w:r w:rsidR="00664765">
        <w:rPr>
          <w:rFonts w:ascii="Arial" w:hAnsi="Arial" w:cs="Arial"/>
        </w:rPr>
        <w:t xml:space="preserve"> organic</w:t>
      </w:r>
      <w:r w:rsidR="005552DD">
        <w:rPr>
          <w:rFonts w:ascii="Arial" w:hAnsi="Arial" w:cs="Arial"/>
        </w:rPr>
        <w:t xml:space="preserve"> solutes in liquid samples</w:t>
      </w:r>
      <w:r w:rsidR="005B7F18">
        <w:rPr>
          <w:rFonts w:ascii="Arial" w:hAnsi="Arial" w:cs="Arial"/>
          <w:vertAlign w:val="superscript"/>
        </w:rPr>
        <w:t>1</w:t>
      </w:r>
      <w:r w:rsidR="00664765">
        <w:rPr>
          <w:rFonts w:ascii="Arial" w:hAnsi="Arial" w:cs="Arial"/>
        </w:rPr>
        <w:t xml:space="preserve">. In biological systems, FTIR can track growth by measurement of </w:t>
      </w:r>
      <w:r w:rsidR="005552DD">
        <w:rPr>
          <w:rFonts w:ascii="Arial" w:hAnsi="Arial" w:cs="Arial"/>
        </w:rPr>
        <w:t xml:space="preserve">substrate and metabolite concentrations </w:t>
      </w:r>
      <w:r w:rsidR="00664765">
        <w:rPr>
          <w:rFonts w:ascii="Arial" w:hAnsi="Arial" w:cs="Arial"/>
        </w:rPr>
        <w:t>in the aqueous medium</w:t>
      </w:r>
      <w:r w:rsidR="002D09A8">
        <w:rPr>
          <w:rFonts w:ascii="Arial" w:hAnsi="Arial" w:cs="Arial"/>
          <w:vertAlign w:val="superscript"/>
        </w:rPr>
        <w:t>2</w:t>
      </w:r>
      <w:r w:rsidR="00664765">
        <w:rPr>
          <w:rFonts w:ascii="Arial" w:hAnsi="Arial" w:cs="Arial"/>
        </w:rPr>
        <w:t xml:space="preserve">, providing an alternative to methods such as optical density (OD) in systems where OD measurement is infeasible. </w:t>
      </w:r>
      <w:r w:rsidR="00524E30">
        <w:rPr>
          <w:rFonts w:ascii="Arial" w:hAnsi="Arial" w:cs="Arial"/>
        </w:rPr>
        <w:t>Additionally, only small liquid aliquots (~20 µL) are required when FTIR is configured for use with attenuated total reflectance (ATR), such that cultures are minimally disturbed by sample collection. While cultures contain a complex mix of metabolites and media components, the concentrations of individual metabolites can be obtained by linear combination of the absorbance spectra for each component</w:t>
      </w:r>
      <w:r w:rsidR="002D09A8">
        <w:rPr>
          <w:rFonts w:ascii="Arial" w:hAnsi="Arial" w:cs="Arial"/>
          <w:vertAlign w:val="superscript"/>
        </w:rPr>
        <w:t>3</w:t>
      </w:r>
      <w:r w:rsidR="00524E30">
        <w:rPr>
          <w:rFonts w:ascii="Arial" w:hAnsi="Arial" w:cs="Arial"/>
        </w:rPr>
        <w:t xml:space="preserve">. In regions of the spectrum where peaks are present for only one metabolite, an approximate fit can be made simply by fitting the peak height to a standard curve. </w:t>
      </w:r>
    </w:p>
    <w:p w14:paraId="0CE1FC02" w14:textId="15CAC8B8" w:rsidR="00C4520A" w:rsidRPr="00C4520A" w:rsidRDefault="00C4520A">
      <w:pPr>
        <w:rPr>
          <w:rFonts w:ascii="Arial" w:hAnsi="Arial" w:cs="Arial"/>
        </w:rPr>
      </w:pPr>
    </w:p>
    <w:p w14:paraId="7A166B33" w14:textId="4DF4B1D8" w:rsidR="00454CB3" w:rsidRDefault="00C4520A">
      <w:pPr>
        <w:rPr>
          <w:rFonts w:ascii="Arial" w:hAnsi="Arial" w:cs="Arial"/>
        </w:rPr>
      </w:pPr>
      <w:r w:rsidRPr="00C4520A">
        <w:rPr>
          <w:rFonts w:ascii="Arial" w:hAnsi="Arial" w:cs="Arial"/>
          <w:b/>
          <w:bCs/>
        </w:rPr>
        <w:t>Scenario:</w:t>
      </w:r>
    </w:p>
    <w:p w14:paraId="02CE8ECD" w14:textId="651A5FD3" w:rsidR="005B7F18" w:rsidRPr="005B7F18" w:rsidRDefault="005B7F18" w:rsidP="00BB16F8">
      <w:pPr>
        <w:jc w:val="both"/>
        <w:rPr>
          <w:rFonts w:ascii="Arial" w:hAnsi="Arial" w:cs="Arial"/>
        </w:rPr>
      </w:pPr>
      <w:r w:rsidRPr="005B7F18">
        <w:rPr>
          <w:rFonts w:ascii="Arial" w:hAnsi="Arial" w:cs="Arial"/>
        </w:rPr>
        <w:t>You are using Fourier-transform infrared spectroscopy (FTIR) to measure metabolite concentrations in real time (in this case, acetic acid) in order to track growth. To do so, you place droplets of your solution on a diamond crystal and measure absorbance using attenuated total reflectance (ATR)</w:t>
      </w:r>
      <w:r>
        <w:rPr>
          <w:rFonts w:ascii="Arial" w:hAnsi="Arial" w:cs="Arial"/>
        </w:rPr>
        <w:t>, and use deionized water to measure a background absorbance spectrum.</w:t>
      </w:r>
    </w:p>
    <w:p w14:paraId="2615EB18" w14:textId="0E13E89D" w:rsidR="004876DA" w:rsidRDefault="005B7F18" w:rsidP="000F3CEA">
      <w:pPr>
        <w:jc w:val="center"/>
        <w:rPr>
          <w:rFonts w:ascii="Arial" w:hAnsi="Arial" w:cs="Arial"/>
        </w:rPr>
      </w:pPr>
      <w:r>
        <w:rPr>
          <w:rFonts w:ascii="Arial" w:hAnsi="Arial" w:cs="Arial"/>
          <w:noProof/>
        </w:rPr>
        <w:drawing>
          <wp:inline distT="0" distB="0" distL="0" distR="0" wp14:anchorId="6AF3FB4F" wp14:editId="0E222EB5">
            <wp:extent cx="6320155" cy="1972426"/>
            <wp:effectExtent l="0" t="0" r="4445" b="0"/>
            <wp:docPr id="185430136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342253" cy="1979322"/>
                    </a:xfrm>
                    <a:prstGeom prst="rect">
                      <a:avLst/>
                    </a:prstGeom>
                    <a:noFill/>
                  </pic:spPr>
                </pic:pic>
              </a:graphicData>
            </a:graphic>
          </wp:inline>
        </w:drawing>
      </w:r>
    </w:p>
    <w:p w14:paraId="0B73B3E4" w14:textId="0355EB1C" w:rsidR="000F3CEA" w:rsidRDefault="000F3CEA">
      <w:pPr>
        <w:rPr>
          <w:rFonts w:ascii="Arial" w:hAnsi="Arial" w:cs="Arial"/>
        </w:rPr>
      </w:pPr>
      <w:r w:rsidRPr="0066578D">
        <w:rPr>
          <w:rFonts w:ascii="Arial" w:hAnsi="Arial" w:cs="Arial"/>
          <w:b/>
          <w:bCs/>
        </w:rPr>
        <w:t>Figure 1.</w:t>
      </w:r>
      <w:r w:rsidR="0029015A">
        <w:rPr>
          <w:rFonts w:ascii="Arial" w:hAnsi="Arial" w:cs="Arial"/>
        </w:rPr>
        <w:t xml:space="preserve"> </w:t>
      </w:r>
      <w:r w:rsidR="005B7F18">
        <w:rPr>
          <w:rFonts w:ascii="Arial" w:hAnsi="Arial" w:cs="Arial"/>
        </w:rPr>
        <w:t>ATR schematic (left) and FTIR Spectrometer (right)</w:t>
      </w:r>
    </w:p>
    <w:p w14:paraId="44EC503E" w14:textId="77777777" w:rsidR="005B7F18" w:rsidRDefault="005B7F18" w:rsidP="005B7F18">
      <w:pPr>
        <w:rPr>
          <w:rFonts w:ascii="Arial" w:hAnsi="Arial" w:cs="Arial"/>
        </w:rPr>
      </w:pPr>
    </w:p>
    <w:p w14:paraId="7EEF1577" w14:textId="19F7688A" w:rsidR="005B7F18" w:rsidRPr="005B7F18" w:rsidRDefault="005B7F18" w:rsidP="005B7F18">
      <w:pPr>
        <w:rPr>
          <w:rFonts w:ascii="Arial" w:hAnsi="Arial" w:cs="Arial"/>
        </w:rPr>
      </w:pPr>
      <w:r w:rsidRPr="005B7F18">
        <w:rPr>
          <w:rFonts w:ascii="Arial" w:hAnsi="Arial" w:cs="Arial"/>
        </w:rPr>
        <w:t>From prior experiments, you know that acetic acid has a large peak at 1710 cm</w:t>
      </w:r>
      <w:r w:rsidRPr="005B7F18">
        <w:rPr>
          <w:rFonts w:ascii="Arial" w:hAnsi="Arial" w:cs="Arial"/>
          <w:vertAlign w:val="superscript"/>
        </w:rPr>
        <w:t>-1</w:t>
      </w:r>
      <w:r w:rsidRPr="005B7F18">
        <w:rPr>
          <w:rFonts w:ascii="Arial" w:hAnsi="Arial" w:cs="Arial"/>
        </w:rPr>
        <w:t xml:space="preserve"> and is the major metabolic product. You expect the concentration of acetic acid in water to linearly correlate to the height of the peak at 1710 cm</w:t>
      </w:r>
      <w:r w:rsidRPr="005B7F18">
        <w:rPr>
          <w:rFonts w:ascii="Arial" w:hAnsi="Arial" w:cs="Arial"/>
          <w:vertAlign w:val="superscript"/>
        </w:rPr>
        <w:t>-1</w:t>
      </w:r>
      <w:r>
        <w:rPr>
          <w:rFonts w:ascii="Arial" w:hAnsi="Arial" w:cs="Arial"/>
        </w:rPr>
        <w:t>, based on literature detailing aqueous IR spectra for different carboxylic acids</w:t>
      </w:r>
      <w:r>
        <w:rPr>
          <w:rFonts w:ascii="Arial" w:hAnsi="Arial" w:cs="Arial"/>
          <w:vertAlign w:val="superscript"/>
        </w:rPr>
        <w:t>1</w:t>
      </w:r>
      <w:r>
        <w:rPr>
          <w:rFonts w:ascii="Arial" w:hAnsi="Arial" w:cs="Arial"/>
        </w:rPr>
        <w:t xml:space="preserve">. </w:t>
      </w:r>
      <w:r w:rsidRPr="005B7F18">
        <w:rPr>
          <w:rFonts w:ascii="Arial" w:hAnsi="Arial" w:cs="Arial"/>
        </w:rPr>
        <w:t>Before setting up a growth study, you make a standard curve for acetic acid by preparing a dilution of acetic acid and measuring the peak heights. You then repeat the same procedure for acetic acid in your growth medium.</w:t>
      </w:r>
    </w:p>
    <w:p w14:paraId="5C0FC8DA" w14:textId="77777777" w:rsidR="005B7F18" w:rsidRPr="00DF1DD5" w:rsidRDefault="005B7F18">
      <w:pPr>
        <w:rPr>
          <w:rFonts w:ascii="Arial" w:hAnsi="Arial" w:cs="Arial"/>
        </w:rPr>
      </w:pPr>
    </w:p>
    <w:p w14:paraId="552FBAFC" w14:textId="77777777" w:rsidR="005B7F18" w:rsidRDefault="005B7F18" w:rsidP="00454CB3">
      <w:pPr>
        <w:jc w:val="both"/>
        <w:rPr>
          <w:rFonts w:ascii="Arial" w:hAnsi="Arial" w:cs="Arial"/>
          <w:b/>
          <w:bCs/>
        </w:rPr>
      </w:pPr>
    </w:p>
    <w:p w14:paraId="3FA22525" w14:textId="4BC642B9" w:rsidR="00454CB3" w:rsidRDefault="00715E74" w:rsidP="00454CB3">
      <w:pPr>
        <w:jc w:val="both"/>
        <w:rPr>
          <w:rFonts w:ascii="Arial" w:hAnsi="Arial" w:cs="Arial"/>
        </w:rPr>
      </w:pPr>
      <w:r>
        <w:rPr>
          <w:rFonts w:ascii="Arial" w:hAnsi="Arial" w:cs="Arial"/>
          <w:noProof/>
        </w:rPr>
        <w:lastRenderedPageBreak/>
        <w:drawing>
          <wp:inline distT="0" distB="0" distL="0" distR="0" wp14:anchorId="1FFA642D" wp14:editId="39D3D1BE">
            <wp:extent cx="2882900" cy="2540000"/>
            <wp:effectExtent l="0" t="0" r="0" b="0"/>
            <wp:docPr id="1779747703" name="Picture 1" descr="A graph of a concentr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9747703" name="Picture 1" descr="A graph of a concentration&#10;&#10;Description automatically generated with medium confidence"/>
                    <pic:cNvPicPr/>
                  </pic:nvPicPr>
                  <pic:blipFill>
                    <a:blip r:embed="rId6" cstate="print">
                      <a:extLst>
                        <a:ext uri="{28A0092B-C50C-407E-A947-70E740481C1C}">
                          <a14:useLocalDpi xmlns:a14="http://schemas.microsoft.com/office/drawing/2010/main" val="0"/>
                        </a:ext>
                      </a:extLst>
                    </a:blip>
                    <a:stretch>
                      <a:fillRect/>
                    </a:stretch>
                  </pic:blipFill>
                  <pic:spPr>
                    <a:xfrm>
                      <a:off x="0" y="0"/>
                      <a:ext cx="2882900" cy="2540000"/>
                    </a:xfrm>
                    <a:prstGeom prst="rect">
                      <a:avLst/>
                    </a:prstGeom>
                  </pic:spPr>
                </pic:pic>
              </a:graphicData>
            </a:graphic>
          </wp:inline>
        </w:drawing>
      </w:r>
      <w:r>
        <w:rPr>
          <w:rFonts w:ascii="Arial" w:hAnsi="Arial" w:cs="Arial"/>
          <w:noProof/>
        </w:rPr>
        <w:drawing>
          <wp:inline distT="0" distB="0" distL="0" distR="0" wp14:anchorId="3793FE08" wp14:editId="77BF5FD1">
            <wp:extent cx="2882900" cy="2540000"/>
            <wp:effectExtent l="0" t="0" r="0" b="0"/>
            <wp:docPr id="937712601" name="Picture 3" descr="A graph of a substance conten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7712601" name="Picture 3" descr="A graph of a substance content&#10;&#10;Description automatically generated with medium confidence"/>
                    <pic:cNvPicPr/>
                  </pic:nvPicPr>
                  <pic:blipFill>
                    <a:blip r:embed="rId7" cstate="print">
                      <a:extLst>
                        <a:ext uri="{28A0092B-C50C-407E-A947-70E740481C1C}">
                          <a14:useLocalDpi xmlns:a14="http://schemas.microsoft.com/office/drawing/2010/main" val="0"/>
                        </a:ext>
                      </a:extLst>
                    </a:blip>
                    <a:stretch>
                      <a:fillRect/>
                    </a:stretch>
                  </pic:blipFill>
                  <pic:spPr>
                    <a:xfrm>
                      <a:off x="0" y="0"/>
                      <a:ext cx="2882900" cy="2540000"/>
                    </a:xfrm>
                    <a:prstGeom prst="rect">
                      <a:avLst/>
                    </a:prstGeom>
                  </pic:spPr>
                </pic:pic>
              </a:graphicData>
            </a:graphic>
          </wp:inline>
        </w:drawing>
      </w:r>
    </w:p>
    <w:p w14:paraId="2A360D0A" w14:textId="04E94E1B" w:rsidR="00485601" w:rsidRDefault="00485601" w:rsidP="00485601">
      <w:pPr>
        <w:rPr>
          <w:rFonts w:ascii="Arial" w:hAnsi="Arial" w:cs="Arial"/>
        </w:rPr>
      </w:pPr>
      <w:r w:rsidRPr="0066578D">
        <w:rPr>
          <w:rFonts w:ascii="Arial" w:hAnsi="Arial" w:cs="Arial"/>
          <w:b/>
          <w:bCs/>
        </w:rPr>
        <w:t xml:space="preserve">Figure </w:t>
      </w:r>
      <w:r>
        <w:rPr>
          <w:rFonts w:ascii="Arial" w:hAnsi="Arial" w:cs="Arial"/>
          <w:b/>
          <w:bCs/>
        </w:rPr>
        <w:t>2</w:t>
      </w:r>
      <w:r w:rsidRPr="0066578D">
        <w:rPr>
          <w:rFonts w:ascii="Arial" w:hAnsi="Arial" w:cs="Arial"/>
          <w:b/>
          <w:bCs/>
        </w:rPr>
        <w:t>.</w:t>
      </w:r>
      <w:r>
        <w:rPr>
          <w:rFonts w:ascii="Arial" w:hAnsi="Arial" w:cs="Arial"/>
        </w:rPr>
        <w:t xml:space="preserve"> Peak height for different concentrations of aqueous acetic acid (left) and acetic acid in growth medium (right). </w:t>
      </w:r>
    </w:p>
    <w:p w14:paraId="377F4C60" w14:textId="77777777" w:rsidR="00485601" w:rsidRDefault="00485601" w:rsidP="00485601">
      <w:pPr>
        <w:rPr>
          <w:rFonts w:ascii="Arial" w:hAnsi="Arial" w:cs="Arial"/>
        </w:rPr>
      </w:pPr>
    </w:p>
    <w:p w14:paraId="63C5E413" w14:textId="57F1AC4A" w:rsidR="005B7F18" w:rsidRPr="004B4AC3" w:rsidRDefault="001B56CA" w:rsidP="001B56CA">
      <w:pPr>
        <w:jc w:val="both"/>
        <w:rPr>
          <w:rFonts w:ascii="Arial" w:hAnsi="Arial" w:cs="Arial"/>
        </w:rPr>
      </w:pPr>
      <w:r>
        <w:rPr>
          <w:rFonts w:ascii="Arial" w:hAnsi="Arial" w:cs="Arial"/>
        </w:rPr>
        <w:t>You see that a</w:t>
      </w:r>
      <w:r w:rsidR="00485601">
        <w:rPr>
          <w:rFonts w:ascii="Arial" w:hAnsi="Arial" w:cs="Arial"/>
        </w:rPr>
        <w:t xml:space="preserve">t low concentrations, </w:t>
      </w:r>
      <w:r>
        <w:rPr>
          <w:rFonts w:ascii="Arial" w:hAnsi="Arial" w:cs="Arial"/>
        </w:rPr>
        <w:t xml:space="preserve">there is poor agreement between the linear fit in water versus your growth media. In the growth media, near the lower end of concentrations, there is little-to-no measurable absorbance. However, this was not the case when measured in water. </w:t>
      </w:r>
    </w:p>
    <w:p w14:paraId="42278AE5" w14:textId="77777777" w:rsidR="00712994" w:rsidRPr="004876DA" w:rsidRDefault="00712994" w:rsidP="00712994">
      <w:pPr>
        <w:pStyle w:val="ListParagraph"/>
        <w:ind w:left="1429"/>
        <w:rPr>
          <w:rFonts w:ascii="Arial" w:hAnsi="Arial" w:cs="Arial"/>
        </w:rPr>
      </w:pPr>
    </w:p>
    <w:p w14:paraId="13A55F89" w14:textId="4EDB5A6C" w:rsidR="00C4520A" w:rsidRDefault="00485601" w:rsidP="0029015A">
      <w:pPr>
        <w:rPr>
          <w:rFonts w:ascii="Arial" w:hAnsi="Arial" w:cs="Arial"/>
          <w:b/>
          <w:bCs/>
        </w:rPr>
      </w:pPr>
      <w:r>
        <w:rPr>
          <w:rFonts w:ascii="Arial" w:hAnsi="Arial" w:cs="Arial"/>
          <w:b/>
          <w:bCs/>
        </w:rPr>
        <w:t>Detailed procedure and workflow</w:t>
      </w:r>
      <w:r w:rsidR="00C4520A" w:rsidRPr="00C4520A">
        <w:rPr>
          <w:rFonts w:ascii="Arial" w:hAnsi="Arial" w:cs="Arial"/>
          <w:b/>
          <w:bCs/>
        </w:rPr>
        <w:t>:</w:t>
      </w:r>
    </w:p>
    <w:p w14:paraId="081D586A" w14:textId="77777777" w:rsidR="00485601" w:rsidRPr="00485601" w:rsidRDefault="00485601" w:rsidP="00485601">
      <w:pPr>
        <w:ind w:firstLine="720"/>
        <w:rPr>
          <w:rFonts w:ascii="Arial" w:hAnsi="Arial" w:cs="Arial"/>
        </w:rPr>
      </w:pPr>
      <w:r w:rsidRPr="00485601">
        <w:rPr>
          <w:rFonts w:ascii="Arial" w:hAnsi="Arial" w:cs="Arial"/>
          <w:b/>
          <w:bCs/>
          <w:u w:val="single"/>
        </w:rPr>
        <w:t>FTIR:</w:t>
      </w:r>
    </w:p>
    <w:p w14:paraId="276C98A4" w14:textId="77777777" w:rsidR="00485601" w:rsidRDefault="00485601" w:rsidP="00485601">
      <w:pPr>
        <w:pStyle w:val="ListParagraph"/>
        <w:numPr>
          <w:ilvl w:val="0"/>
          <w:numId w:val="11"/>
        </w:numPr>
        <w:rPr>
          <w:rFonts w:ascii="Arial" w:hAnsi="Arial" w:cs="Arial"/>
        </w:rPr>
      </w:pPr>
      <w:r w:rsidRPr="00485601">
        <w:rPr>
          <w:rFonts w:ascii="Arial" w:hAnsi="Arial" w:cs="Arial"/>
        </w:rPr>
        <w:t>The FTIR-ATR crystal is cleaned with DI water and wiped dry</w:t>
      </w:r>
    </w:p>
    <w:p w14:paraId="00303EBF" w14:textId="77777777" w:rsidR="00485601" w:rsidRDefault="00485601" w:rsidP="00485601">
      <w:pPr>
        <w:pStyle w:val="ListParagraph"/>
        <w:numPr>
          <w:ilvl w:val="0"/>
          <w:numId w:val="11"/>
        </w:numPr>
        <w:rPr>
          <w:rFonts w:ascii="Arial" w:hAnsi="Arial" w:cs="Arial"/>
        </w:rPr>
      </w:pPr>
      <w:r w:rsidRPr="00485601">
        <w:rPr>
          <w:rFonts w:ascii="Arial" w:hAnsi="Arial" w:cs="Arial"/>
        </w:rPr>
        <w:t>The collection range is set to 1800-1000 cm</w:t>
      </w:r>
      <w:r w:rsidRPr="00485601">
        <w:rPr>
          <w:rFonts w:ascii="Arial" w:hAnsi="Arial" w:cs="Arial"/>
          <w:vertAlign w:val="superscript"/>
        </w:rPr>
        <w:t>-1</w:t>
      </w:r>
      <w:r w:rsidRPr="00485601">
        <w:rPr>
          <w:rFonts w:ascii="Arial" w:hAnsi="Arial" w:cs="Arial"/>
        </w:rPr>
        <w:t>, with 2 cm</w:t>
      </w:r>
      <w:r w:rsidRPr="00485601">
        <w:rPr>
          <w:rFonts w:ascii="Arial" w:hAnsi="Arial" w:cs="Arial"/>
          <w:vertAlign w:val="superscript"/>
        </w:rPr>
        <w:t>-1</w:t>
      </w:r>
      <w:r w:rsidRPr="00485601">
        <w:rPr>
          <w:rFonts w:ascii="Arial" w:hAnsi="Arial" w:cs="Arial"/>
        </w:rPr>
        <w:t xml:space="preserve"> resolution and 48 scans</w:t>
      </w:r>
    </w:p>
    <w:p w14:paraId="6EC33C7F" w14:textId="77777777" w:rsidR="00485601" w:rsidRDefault="00485601" w:rsidP="00485601">
      <w:pPr>
        <w:pStyle w:val="ListParagraph"/>
        <w:numPr>
          <w:ilvl w:val="0"/>
          <w:numId w:val="11"/>
        </w:numPr>
        <w:rPr>
          <w:rFonts w:ascii="Arial" w:hAnsi="Arial" w:cs="Arial"/>
        </w:rPr>
      </w:pPr>
      <w:r w:rsidRPr="00485601">
        <w:rPr>
          <w:rFonts w:ascii="Arial" w:hAnsi="Arial" w:cs="Arial"/>
        </w:rPr>
        <w:t xml:space="preserve">20 µL of DI water is loaded onto the ATR crystal, which is then covered with a plastic cap </w:t>
      </w:r>
    </w:p>
    <w:p w14:paraId="66B01A81" w14:textId="77777777" w:rsidR="00485601" w:rsidRDefault="00485601" w:rsidP="00485601">
      <w:pPr>
        <w:pStyle w:val="ListParagraph"/>
        <w:numPr>
          <w:ilvl w:val="0"/>
          <w:numId w:val="11"/>
        </w:numPr>
        <w:rPr>
          <w:rFonts w:ascii="Arial" w:hAnsi="Arial" w:cs="Arial"/>
        </w:rPr>
      </w:pPr>
      <w:r w:rsidRPr="00485601">
        <w:rPr>
          <w:rFonts w:ascii="Arial" w:hAnsi="Arial" w:cs="Arial"/>
        </w:rPr>
        <w:t>The absorbance is measured</w:t>
      </w:r>
    </w:p>
    <w:p w14:paraId="646E109A" w14:textId="77777777" w:rsidR="00485601" w:rsidRDefault="00485601" w:rsidP="00485601">
      <w:pPr>
        <w:pStyle w:val="ListParagraph"/>
        <w:numPr>
          <w:ilvl w:val="0"/>
          <w:numId w:val="11"/>
        </w:numPr>
        <w:rPr>
          <w:rFonts w:ascii="Arial" w:hAnsi="Arial" w:cs="Arial"/>
        </w:rPr>
      </w:pPr>
      <w:r w:rsidRPr="00485601">
        <w:rPr>
          <w:rFonts w:ascii="Arial" w:hAnsi="Arial" w:cs="Arial"/>
        </w:rPr>
        <w:t>The ATR crystal is wiped dry, and 20 µL of sample is added to the crystal</w:t>
      </w:r>
    </w:p>
    <w:p w14:paraId="29920941" w14:textId="77777777" w:rsidR="00485601" w:rsidRDefault="00485601" w:rsidP="00485601">
      <w:pPr>
        <w:pStyle w:val="ListParagraph"/>
        <w:numPr>
          <w:ilvl w:val="0"/>
          <w:numId w:val="11"/>
        </w:numPr>
        <w:rPr>
          <w:rFonts w:ascii="Arial" w:hAnsi="Arial" w:cs="Arial"/>
        </w:rPr>
      </w:pPr>
      <w:r w:rsidRPr="00485601">
        <w:rPr>
          <w:rFonts w:ascii="Arial" w:hAnsi="Arial" w:cs="Arial"/>
        </w:rPr>
        <w:t>The background spectrum is collected under the same conditions</w:t>
      </w:r>
    </w:p>
    <w:p w14:paraId="5D355AE3" w14:textId="00110FA6" w:rsidR="00485601" w:rsidRPr="00485601" w:rsidRDefault="00485601" w:rsidP="00485601">
      <w:pPr>
        <w:pStyle w:val="ListParagraph"/>
        <w:numPr>
          <w:ilvl w:val="0"/>
          <w:numId w:val="11"/>
        </w:numPr>
        <w:rPr>
          <w:rFonts w:ascii="Arial" w:hAnsi="Arial" w:cs="Arial"/>
        </w:rPr>
      </w:pPr>
      <w:r w:rsidRPr="00485601">
        <w:rPr>
          <w:rFonts w:ascii="Arial" w:hAnsi="Arial" w:cs="Arial"/>
        </w:rPr>
        <w:t>The peak height is measured at 1710 cm</w:t>
      </w:r>
      <w:r w:rsidRPr="00485601">
        <w:rPr>
          <w:rFonts w:ascii="Arial" w:hAnsi="Arial" w:cs="Arial"/>
          <w:vertAlign w:val="superscript"/>
        </w:rPr>
        <w:t>-1</w:t>
      </w:r>
    </w:p>
    <w:p w14:paraId="62ECA189" w14:textId="77777777" w:rsidR="00485601" w:rsidRPr="00485601" w:rsidRDefault="00485601" w:rsidP="00485601">
      <w:pPr>
        <w:ind w:firstLine="720"/>
        <w:rPr>
          <w:rFonts w:ascii="Arial" w:hAnsi="Arial" w:cs="Arial"/>
        </w:rPr>
      </w:pPr>
      <w:r w:rsidRPr="00485601">
        <w:rPr>
          <w:rFonts w:ascii="Arial" w:hAnsi="Arial" w:cs="Arial"/>
          <w:b/>
          <w:bCs/>
          <w:u w:val="single"/>
        </w:rPr>
        <w:t>Sample preparation:</w:t>
      </w:r>
    </w:p>
    <w:p w14:paraId="70309893" w14:textId="77777777" w:rsidR="00485601" w:rsidRDefault="00485601" w:rsidP="00485601">
      <w:pPr>
        <w:pStyle w:val="ListParagraph"/>
        <w:numPr>
          <w:ilvl w:val="0"/>
          <w:numId w:val="12"/>
        </w:numPr>
        <w:rPr>
          <w:rFonts w:ascii="Arial" w:hAnsi="Arial" w:cs="Arial"/>
        </w:rPr>
      </w:pPr>
      <w:r w:rsidRPr="00485601">
        <w:rPr>
          <w:rFonts w:ascii="Arial" w:hAnsi="Arial" w:cs="Arial"/>
        </w:rPr>
        <w:t>Acetic acid is prepared at the following concentrations in DI water: 0, 0.1, 0.2, 0.4, 0.8, and 1.6 M</w:t>
      </w:r>
    </w:p>
    <w:p w14:paraId="0C7B3BB3" w14:textId="77777777" w:rsidR="00485601" w:rsidRDefault="00485601" w:rsidP="00485601">
      <w:pPr>
        <w:pStyle w:val="ListParagraph"/>
        <w:numPr>
          <w:ilvl w:val="0"/>
          <w:numId w:val="12"/>
        </w:numPr>
        <w:rPr>
          <w:rFonts w:ascii="Arial" w:hAnsi="Arial" w:cs="Arial"/>
        </w:rPr>
      </w:pPr>
      <w:r w:rsidRPr="00485601">
        <w:rPr>
          <w:rFonts w:ascii="Arial" w:hAnsi="Arial" w:cs="Arial"/>
        </w:rPr>
        <w:t>10X Growth medium is prepared by mixing 10.7 g Na</w:t>
      </w:r>
      <w:r w:rsidRPr="00485601">
        <w:rPr>
          <w:rFonts w:ascii="Arial" w:hAnsi="Arial" w:cs="Arial"/>
          <w:vertAlign w:val="subscript"/>
        </w:rPr>
        <w:t>2</w:t>
      </w:r>
      <w:r w:rsidRPr="00485601">
        <w:rPr>
          <w:rFonts w:ascii="Arial" w:hAnsi="Arial" w:cs="Arial"/>
        </w:rPr>
        <w:t>HPO</w:t>
      </w:r>
      <w:r w:rsidRPr="00485601">
        <w:rPr>
          <w:rFonts w:ascii="Arial" w:hAnsi="Arial" w:cs="Arial"/>
          <w:vertAlign w:val="subscript"/>
        </w:rPr>
        <w:t>4</w:t>
      </w:r>
      <w:r w:rsidRPr="00485601">
        <w:rPr>
          <w:rFonts w:ascii="Arial" w:hAnsi="Arial" w:cs="Arial"/>
        </w:rPr>
        <w:t xml:space="preserve"> and 2.95 g NaH</w:t>
      </w:r>
      <w:r w:rsidRPr="00485601">
        <w:rPr>
          <w:rFonts w:ascii="Arial" w:hAnsi="Arial" w:cs="Arial"/>
          <w:vertAlign w:val="subscript"/>
        </w:rPr>
        <w:t>2</w:t>
      </w:r>
      <w:r w:rsidRPr="00485601">
        <w:rPr>
          <w:rFonts w:ascii="Arial" w:hAnsi="Arial" w:cs="Arial"/>
        </w:rPr>
        <w:t>PO</w:t>
      </w:r>
      <w:r w:rsidRPr="00485601">
        <w:rPr>
          <w:rFonts w:ascii="Arial" w:hAnsi="Arial" w:cs="Arial"/>
          <w:vertAlign w:val="subscript"/>
        </w:rPr>
        <w:t>4</w:t>
      </w:r>
      <w:r w:rsidRPr="00485601">
        <w:rPr>
          <w:rFonts w:ascii="Arial" w:hAnsi="Arial" w:cs="Arial"/>
        </w:rPr>
        <w:t>, which is then diluted</w:t>
      </w:r>
    </w:p>
    <w:p w14:paraId="24630BC3" w14:textId="1829890B" w:rsidR="00485601" w:rsidRPr="00485601" w:rsidRDefault="00485601" w:rsidP="00485601">
      <w:pPr>
        <w:pStyle w:val="ListParagraph"/>
        <w:numPr>
          <w:ilvl w:val="0"/>
          <w:numId w:val="12"/>
        </w:numPr>
        <w:rPr>
          <w:rFonts w:ascii="Arial" w:hAnsi="Arial" w:cs="Arial"/>
        </w:rPr>
      </w:pPr>
      <w:r w:rsidRPr="00485601">
        <w:rPr>
          <w:rFonts w:ascii="Arial" w:hAnsi="Arial" w:cs="Arial"/>
        </w:rPr>
        <w:t>Acetic acid is prepared at the same concentrations as prior, in 1X growth medium</w:t>
      </w:r>
    </w:p>
    <w:p w14:paraId="38393307" w14:textId="77777777" w:rsidR="00C4520A" w:rsidRDefault="00C4520A" w:rsidP="00C4520A">
      <w:pPr>
        <w:ind w:firstLine="720"/>
        <w:rPr>
          <w:rFonts w:ascii="Arial" w:hAnsi="Arial" w:cs="Arial"/>
        </w:rPr>
      </w:pPr>
    </w:p>
    <w:p w14:paraId="68A55539" w14:textId="516819B1" w:rsidR="00485601" w:rsidRPr="00C4520A" w:rsidRDefault="00485601" w:rsidP="00C4520A">
      <w:pPr>
        <w:ind w:firstLine="720"/>
        <w:rPr>
          <w:rFonts w:ascii="Arial" w:hAnsi="Arial" w:cs="Arial"/>
        </w:rPr>
      </w:pPr>
      <w:r>
        <w:rPr>
          <w:rFonts w:ascii="Arial" w:hAnsi="Arial" w:cs="Arial"/>
          <w:noProof/>
        </w:rPr>
        <w:lastRenderedPageBreak/>
        <w:drawing>
          <wp:inline distT="0" distB="0" distL="0" distR="0" wp14:anchorId="3A950B2A" wp14:editId="120117A1">
            <wp:extent cx="5589270" cy="1858211"/>
            <wp:effectExtent l="0" t="0" r="0" b="0"/>
            <wp:docPr id="79987710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07728" cy="1864348"/>
                    </a:xfrm>
                    <a:prstGeom prst="rect">
                      <a:avLst/>
                    </a:prstGeom>
                    <a:noFill/>
                  </pic:spPr>
                </pic:pic>
              </a:graphicData>
            </a:graphic>
          </wp:inline>
        </w:drawing>
      </w:r>
    </w:p>
    <w:p w14:paraId="001F801B" w14:textId="11BAA425" w:rsidR="00485601" w:rsidRDefault="00485601" w:rsidP="0029015A">
      <w:pPr>
        <w:rPr>
          <w:rFonts w:ascii="Arial" w:hAnsi="Arial" w:cs="Arial"/>
        </w:rPr>
      </w:pPr>
      <w:r>
        <w:rPr>
          <w:rFonts w:ascii="Arial" w:hAnsi="Arial" w:cs="Arial"/>
          <w:b/>
          <w:bCs/>
        </w:rPr>
        <w:t>Figure 3.</w:t>
      </w:r>
      <w:r>
        <w:rPr>
          <w:rFonts w:ascii="Arial" w:hAnsi="Arial" w:cs="Arial"/>
        </w:rPr>
        <w:t xml:space="preserve"> Experimental workflow.</w:t>
      </w:r>
    </w:p>
    <w:p w14:paraId="38EB2FCF" w14:textId="77777777" w:rsidR="00485601" w:rsidRDefault="00485601" w:rsidP="0029015A">
      <w:pPr>
        <w:rPr>
          <w:rFonts w:ascii="Arial" w:hAnsi="Arial" w:cs="Arial"/>
        </w:rPr>
      </w:pPr>
    </w:p>
    <w:p w14:paraId="6230C742" w14:textId="77777777" w:rsidR="00485601" w:rsidRPr="00485601" w:rsidRDefault="00485601" w:rsidP="0029015A">
      <w:pPr>
        <w:rPr>
          <w:rFonts w:ascii="Arial" w:hAnsi="Arial" w:cs="Arial"/>
        </w:rPr>
      </w:pPr>
    </w:p>
    <w:p w14:paraId="0D61CBBD" w14:textId="48E01F4D" w:rsidR="009D62C9" w:rsidRDefault="00582B68" w:rsidP="009D62C9">
      <w:pPr>
        <w:rPr>
          <w:rFonts w:ascii="Arial" w:hAnsi="Arial" w:cs="Arial"/>
        </w:rPr>
      </w:pPr>
      <w:r w:rsidRPr="009D62C9">
        <w:rPr>
          <w:rFonts w:ascii="Arial" w:hAnsi="Arial" w:cs="Arial"/>
          <w:b/>
          <w:bCs/>
        </w:rPr>
        <w:t>Source of error:</w:t>
      </w:r>
    </w:p>
    <w:p w14:paraId="51D1DEF0" w14:textId="15A993D2" w:rsidR="0066578D" w:rsidRPr="001B56CA" w:rsidRDefault="002D09A8" w:rsidP="00BB16F8">
      <w:pPr>
        <w:tabs>
          <w:tab w:val="num" w:pos="720"/>
        </w:tabs>
        <w:jc w:val="both"/>
        <w:rPr>
          <w:rFonts w:ascii="Arial" w:hAnsi="Arial" w:cs="Arial"/>
        </w:rPr>
      </w:pPr>
      <w:r w:rsidRPr="002D09A8">
        <w:rPr>
          <w:rFonts w:ascii="Arial" w:hAnsi="Arial" w:cs="Arial"/>
        </w:rPr>
        <w:t>The acetic acid peak at 1710 cm</w:t>
      </w:r>
      <w:r w:rsidRPr="002D09A8">
        <w:rPr>
          <w:rFonts w:ascii="Arial" w:hAnsi="Arial" w:cs="Arial"/>
          <w:vertAlign w:val="superscript"/>
        </w:rPr>
        <w:t>-1</w:t>
      </w:r>
      <w:r w:rsidRPr="002D09A8">
        <w:rPr>
          <w:rFonts w:ascii="Arial" w:hAnsi="Arial" w:cs="Arial"/>
        </w:rPr>
        <w:t xml:space="preserve"> was extinguished when acetic acid was deprotonated to acetate.</w:t>
      </w:r>
      <w:r>
        <w:rPr>
          <w:rFonts w:ascii="Arial" w:hAnsi="Arial" w:cs="Arial"/>
        </w:rPr>
        <w:t xml:space="preserve"> </w:t>
      </w:r>
      <w:r w:rsidRPr="002D09A8">
        <w:rPr>
          <w:rFonts w:ascii="Arial" w:hAnsi="Arial" w:cs="Arial"/>
        </w:rPr>
        <w:t>Because IR spectroscopy depends on the vibration of molecular bonds, losing or gaining bonds will significantly impact the spectra of compounds in solution.</w:t>
      </w:r>
    </w:p>
    <w:p w14:paraId="230A26B5" w14:textId="77777777" w:rsidR="0066578D" w:rsidRDefault="0066578D" w:rsidP="009D62C9">
      <w:pPr>
        <w:rPr>
          <w:rFonts w:ascii="Arial" w:hAnsi="Arial" w:cs="Arial"/>
          <w:b/>
          <w:bCs/>
        </w:rPr>
      </w:pPr>
    </w:p>
    <w:p w14:paraId="1AFDE63B" w14:textId="77777777" w:rsidR="000444D0" w:rsidRDefault="000444D0">
      <w:pPr>
        <w:rPr>
          <w:rFonts w:ascii="Arial" w:hAnsi="Arial" w:cs="Arial"/>
          <w:b/>
          <w:bCs/>
        </w:rPr>
      </w:pPr>
      <w:r>
        <w:rPr>
          <w:rFonts w:ascii="Arial" w:hAnsi="Arial" w:cs="Arial"/>
          <w:b/>
          <w:bCs/>
        </w:rPr>
        <w:br w:type="page"/>
      </w:r>
    </w:p>
    <w:p w14:paraId="7BD1BE04" w14:textId="50DF20E6" w:rsidR="009D62C9" w:rsidRPr="00AB4245" w:rsidRDefault="009D62C9" w:rsidP="009D62C9">
      <w:pPr>
        <w:rPr>
          <w:rFonts w:ascii="Arial" w:hAnsi="Arial" w:cs="Arial"/>
        </w:rPr>
      </w:pPr>
      <w:r>
        <w:rPr>
          <w:rFonts w:ascii="Arial" w:hAnsi="Arial" w:cs="Arial"/>
          <w:b/>
          <w:bCs/>
        </w:rPr>
        <w:lastRenderedPageBreak/>
        <w:t xml:space="preserve">Table 1. </w:t>
      </w:r>
      <w:r>
        <w:rPr>
          <w:rFonts w:ascii="Arial" w:hAnsi="Arial" w:cs="Arial"/>
        </w:rPr>
        <w:t>Additional information known by the leader that can be provided upon request</w:t>
      </w:r>
    </w:p>
    <w:tbl>
      <w:tblPr>
        <w:tblStyle w:val="TableGrid"/>
        <w:tblW w:w="0" w:type="auto"/>
        <w:tblLook w:val="04A0" w:firstRow="1" w:lastRow="0" w:firstColumn="1" w:lastColumn="0" w:noHBand="0" w:noVBand="1"/>
      </w:tblPr>
      <w:tblGrid>
        <w:gridCol w:w="2335"/>
        <w:gridCol w:w="7015"/>
      </w:tblGrid>
      <w:tr w:rsidR="009D62C9" w14:paraId="09D389E5" w14:textId="77777777" w:rsidTr="00CA7CA4">
        <w:tc>
          <w:tcPr>
            <w:tcW w:w="9350" w:type="dxa"/>
            <w:gridSpan w:val="2"/>
            <w:shd w:val="clear" w:color="auto" w:fill="D1D1D1" w:themeFill="background2" w:themeFillShade="E6"/>
          </w:tcPr>
          <w:p w14:paraId="38738DAC" w14:textId="77777777" w:rsidR="009D62C9" w:rsidRDefault="009D62C9" w:rsidP="00CA7CA4">
            <w:pPr>
              <w:jc w:val="center"/>
              <w:rPr>
                <w:rFonts w:ascii="Arial" w:hAnsi="Arial" w:cs="Arial"/>
                <w:b/>
                <w:bCs/>
              </w:rPr>
            </w:pPr>
            <w:r>
              <w:rPr>
                <w:rFonts w:ascii="Arial" w:hAnsi="Arial" w:cs="Arial"/>
                <w:b/>
                <w:bCs/>
              </w:rPr>
              <w:t>Meeting Notes for the Leader</w:t>
            </w:r>
          </w:p>
          <w:p w14:paraId="440EE0D1" w14:textId="77777777" w:rsidR="009D62C9" w:rsidRPr="005C7D54" w:rsidRDefault="009D62C9" w:rsidP="00CA7CA4">
            <w:pPr>
              <w:jc w:val="center"/>
              <w:rPr>
                <w:rFonts w:ascii="Arial" w:hAnsi="Arial" w:cs="Arial"/>
              </w:rPr>
            </w:pPr>
            <w:r>
              <w:rPr>
                <w:rFonts w:ascii="Arial" w:hAnsi="Arial" w:cs="Arial"/>
              </w:rPr>
              <w:t>Not to be shared with the group</w:t>
            </w:r>
          </w:p>
        </w:tc>
      </w:tr>
      <w:tr w:rsidR="009D62C9" w14:paraId="4AD82A86" w14:textId="77777777" w:rsidTr="00CA7CA4">
        <w:tc>
          <w:tcPr>
            <w:tcW w:w="2335" w:type="dxa"/>
          </w:tcPr>
          <w:p w14:paraId="135DD31C" w14:textId="77777777" w:rsidR="009D62C9" w:rsidRDefault="009D62C9" w:rsidP="00CA7CA4">
            <w:pPr>
              <w:rPr>
                <w:rFonts w:ascii="Arial" w:hAnsi="Arial" w:cs="Arial"/>
              </w:rPr>
            </w:pPr>
            <w:r>
              <w:rPr>
                <w:rFonts w:ascii="Arial" w:hAnsi="Arial" w:cs="Arial"/>
              </w:rPr>
              <w:t xml:space="preserve">Other researcher’s experiments </w:t>
            </w:r>
          </w:p>
        </w:tc>
        <w:tc>
          <w:tcPr>
            <w:tcW w:w="7015" w:type="dxa"/>
          </w:tcPr>
          <w:p w14:paraId="3C02F673" w14:textId="12886A8B" w:rsidR="00007255" w:rsidRDefault="002D09A8" w:rsidP="002D09A8">
            <w:pPr>
              <w:pStyle w:val="ListParagraph"/>
              <w:numPr>
                <w:ilvl w:val="0"/>
                <w:numId w:val="3"/>
              </w:numPr>
              <w:rPr>
                <w:rFonts w:ascii="Arial" w:hAnsi="Arial" w:cs="Arial"/>
              </w:rPr>
            </w:pPr>
            <w:r>
              <w:rPr>
                <w:rFonts w:ascii="Arial" w:hAnsi="Arial" w:cs="Arial"/>
              </w:rPr>
              <w:t xml:space="preserve">The FTIR instrument (Nicolet iS10) is rarely used by others. </w:t>
            </w:r>
            <w:r w:rsidR="004B7D77">
              <w:rPr>
                <w:rFonts w:ascii="Arial" w:hAnsi="Arial" w:cs="Arial"/>
              </w:rPr>
              <w:t>O</w:t>
            </w:r>
            <w:r>
              <w:rPr>
                <w:rFonts w:ascii="Arial" w:hAnsi="Arial" w:cs="Arial"/>
              </w:rPr>
              <w:t xml:space="preserve">thers do regularly use the pH meter, </w:t>
            </w:r>
            <w:r w:rsidR="004B7D77">
              <w:rPr>
                <w:rFonts w:ascii="Arial" w:hAnsi="Arial" w:cs="Arial"/>
              </w:rPr>
              <w:t>likely to check the pH of culture media.</w:t>
            </w:r>
          </w:p>
          <w:p w14:paraId="0213C0CD" w14:textId="2A79BB2D" w:rsidR="002D09A8" w:rsidRPr="002D09A8" w:rsidRDefault="002D09A8" w:rsidP="002D09A8">
            <w:pPr>
              <w:pStyle w:val="ListParagraph"/>
              <w:numPr>
                <w:ilvl w:val="0"/>
                <w:numId w:val="3"/>
              </w:numPr>
              <w:rPr>
                <w:rFonts w:ascii="Arial" w:hAnsi="Arial" w:cs="Arial"/>
              </w:rPr>
            </w:pPr>
            <w:r>
              <w:rPr>
                <w:rFonts w:ascii="Arial" w:hAnsi="Arial" w:cs="Arial"/>
              </w:rPr>
              <w:t>The acids and salts are shared with others in the lab.</w:t>
            </w:r>
          </w:p>
        </w:tc>
      </w:tr>
      <w:tr w:rsidR="009D62C9" w14:paraId="0EDA5000" w14:textId="77777777" w:rsidTr="00CA7CA4">
        <w:tc>
          <w:tcPr>
            <w:tcW w:w="2335" w:type="dxa"/>
          </w:tcPr>
          <w:p w14:paraId="61E43D68" w14:textId="77777777" w:rsidR="009D62C9" w:rsidRDefault="009D62C9" w:rsidP="00CA7CA4">
            <w:pPr>
              <w:rPr>
                <w:rFonts w:ascii="Arial" w:hAnsi="Arial" w:cs="Arial"/>
              </w:rPr>
            </w:pPr>
            <w:r>
              <w:rPr>
                <w:rFonts w:ascii="Arial" w:hAnsi="Arial" w:cs="Arial"/>
              </w:rPr>
              <w:t>Storage information</w:t>
            </w:r>
          </w:p>
        </w:tc>
        <w:tc>
          <w:tcPr>
            <w:tcW w:w="7015" w:type="dxa"/>
          </w:tcPr>
          <w:p w14:paraId="380A003F" w14:textId="4B996994" w:rsidR="002D09A8" w:rsidRDefault="00007255" w:rsidP="009D62C9">
            <w:pPr>
              <w:pStyle w:val="ListParagraph"/>
              <w:numPr>
                <w:ilvl w:val="0"/>
                <w:numId w:val="4"/>
              </w:numPr>
              <w:rPr>
                <w:rFonts w:ascii="Arial" w:hAnsi="Arial" w:cs="Arial"/>
              </w:rPr>
            </w:pPr>
            <w:r>
              <w:rPr>
                <w:rFonts w:ascii="Arial" w:hAnsi="Arial" w:cs="Arial"/>
              </w:rPr>
              <w:t>The</w:t>
            </w:r>
            <w:r w:rsidR="002D09A8">
              <w:rPr>
                <w:rFonts w:ascii="Arial" w:hAnsi="Arial" w:cs="Arial"/>
              </w:rPr>
              <w:t xml:space="preserve"> acetic acid solutions are prepared by diluting glacial acetic acid.</w:t>
            </w:r>
          </w:p>
          <w:p w14:paraId="3D1B841A" w14:textId="13F99DCC" w:rsidR="009D62C9" w:rsidRDefault="002D09A8" w:rsidP="002D09A8">
            <w:pPr>
              <w:pStyle w:val="ListParagraph"/>
              <w:numPr>
                <w:ilvl w:val="0"/>
                <w:numId w:val="4"/>
              </w:numPr>
              <w:rPr>
                <w:rFonts w:ascii="Arial" w:hAnsi="Arial" w:cs="Arial"/>
              </w:rPr>
            </w:pPr>
            <w:r>
              <w:rPr>
                <w:rFonts w:ascii="Arial" w:hAnsi="Arial" w:cs="Arial"/>
              </w:rPr>
              <w:t>Sodium phosphate and sodium acetate salts are stored in a chemical cabinet</w:t>
            </w:r>
            <w:r w:rsidR="004B7D77">
              <w:rPr>
                <w:rFonts w:ascii="Arial" w:hAnsi="Arial" w:cs="Arial"/>
              </w:rPr>
              <w:t>, in open air</w:t>
            </w:r>
            <w:r>
              <w:rPr>
                <w:rFonts w:ascii="Arial" w:hAnsi="Arial" w:cs="Arial"/>
              </w:rPr>
              <w:t>.</w:t>
            </w:r>
          </w:p>
          <w:p w14:paraId="34DFF582" w14:textId="426F8BED" w:rsidR="002D09A8" w:rsidRPr="00007255" w:rsidRDefault="002D09A8" w:rsidP="002D09A8">
            <w:pPr>
              <w:pStyle w:val="ListParagraph"/>
              <w:numPr>
                <w:ilvl w:val="0"/>
                <w:numId w:val="4"/>
              </w:numPr>
              <w:rPr>
                <w:rFonts w:ascii="Arial" w:hAnsi="Arial" w:cs="Arial"/>
              </w:rPr>
            </w:pPr>
            <w:r>
              <w:rPr>
                <w:rFonts w:ascii="Arial" w:hAnsi="Arial" w:cs="Arial"/>
              </w:rPr>
              <w:t xml:space="preserve">Once the solutions are prepared, they are stored in </w:t>
            </w:r>
            <w:r w:rsidR="004B7D77">
              <w:rPr>
                <w:rFonts w:ascii="Arial" w:hAnsi="Arial" w:cs="Arial"/>
              </w:rPr>
              <w:t>closed polypropylene tubes on the bench.</w:t>
            </w:r>
          </w:p>
        </w:tc>
      </w:tr>
      <w:tr w:rsidR="009D62C9" w14:paraId="62F144B0" w14:textId="77777777" w:rsidTr="00CA7CA4">
        <w:tc>
          <w:tcPr>
            <w:tcW w:w="2335" w:type="dxa"/>
          </w:tcPr>
          <w:p w14:paraId="683BC652" w14:textId="6A6038DE" w:rsidR="009D62C9" w:rsidRDefault="009D62C9" w:rsidP="00CA7CA4">
            <w:pPr>
              <w:rPr>
                <w:rFonts w:ascii="Arial" w:hAnsi="Arial" w:cs="Arial"/>
              </w:rPr>
            </w:pPr>
            <w:r>
              <w:rPr>
                <w:rFonts w:ascii="Arial" w:hAnsi="Arial" w:cs="Arial"/>
              </w:rPr>
              <w:t>Device information</w:t>
            </w:r>
          </w:p>
        </w:tc>
        <w:tc>
          <w:tcPr>
            <w:tcW w:w="7015" w:type="dxa"/>
          </w:tcPr>
          <w:p w14:paraId="648BD182" w14:textId="264DD3AE" w:rsidR="00007255" w:rsidRPr="00007255" w:rsidRDefault="004B7D77" w:rsidP="00007255">
            <w:pPr>
              <w:pStyle w:val="ListParagraph"/>
              <w:numPr>
                <w:ilvl w:val="0"/>
                <w:numId w:val="4"/>
              </w:numPr>
              <w:rPr>
                <w:rFonts w:ascii="Arial" w:hAnsi="Arial" w:cs="Arial"/>
              </w:rPr>
            </w:pPr>
            <w:r>
              <w:rPr>
                <w:rFonts w:ascii="Arial" w:hAnsi="Arial" w:cs="Arial"/>
              </w:rPr>
              <w:t xml:space="preserve">The pH meter has been calibrated within the last month, and the FTIR spectrometer seems to be functioning without error. </w:t>
            </w:r>
          </w:p>
        </w:tc>
      </w:tr>
      <w:tr w:rsidR="009D62C9" w14:paraId="73F2C507" w14:textId="77777777" w:rsidTr="00CA7CA4">
        <w:tc>
          <w:tcPr>
            <w:tcW w:w="2335" w:type="dxa"/>
          </w:tcPr>
          <w:p w14:paraId="5CE4F352" w14:textId="77777777" w:rsidR="009D62C9" w:rsidRDefault="009D62C9" w:rsidP="00CA7CA4">
            <w:pPr>
              <w:rPr>
                <w:rFonts w:ascii="Arial" w:hAnsi="Arial" w:cs="Arial"/>
              </w:rPr>
            </w:pPr>
            <w:r>
              <w:rPr>
                <w:rFonts w:ascii="Arial" w:hAnsi="Arial" w:cs="Arial"/>
              </w:rPr>
              <w:t>Source of error</w:t>
            </w:r>
          </w:p>
        </w:tc>
        <w:tc>
          <w:tcPr>
            <w:tcW w:w="7015" w:type="dxa"/>
          </w:tcPr>
          <w:p w14:paraId="56577365" w14:textId="26EF6CA9" w:rsidR="009D62C9" w:rsidRPr="00AB4245" w:rsidRDefault="000444D0" w:rsidP="009D62C9">
            <w:pPr>
              <w:pStyle w:val="ListParagraph"/>
              <w:numPr>
                <w:ilvl w:val="0"/>
                <w:numId w:val="5"/>
              </w:numPr>
              <w:rPr>
                <w:rFonts w:ascii="Arial" w:hAnsi="Arial" w:cs="Arial"/>
              </w:rPr>
            </w:pPr>
            <w:r w:rsidRPr="000444D0">
              <w:rPr>
                <w:rFonts w:ascii="Arial" w:hAnsi="Arial" w:cs="Arial"/>
              </w:rPr>
              <w:t>The acetic acid peak at 1710 cm</w:t>
            </w:r>
            <w:r w:rsidRPr="00BB16F8">
              <w:rPr>
                <w:rFonts w:ascii="Arial" w:hAnsi="Arial" w:cs="Arial"/>
                <w:vertAlign w:val="superscript"/>
              </w:rPr>
              <w:t>-1</w:t>
            </w:r>
            <w:r w:rsidRPr="000444D0">
              <w:rPr>
                <w:rFonts w:ascii="Arial" w:hAnsi="Arial" w:cs="Arial"/>
              </w:rPr>
              <w:t xml:space="preserve"> was extinguished when acetic acid was deprotonated to acetate. </w:t>
            </w:r>
          </w:p>
        </w:tc>
      </w:tr>
      <w:tr w:rsidR="009D62C9" w14:paraId="19B8B473" w14:textId="77777777" w:rsidTr="00CA7CA4">
        <w:tc>
          <w:tcPr>
            <w:tcW w:w="2335" w:type="dxa"/>
          </w:tcPr>
          <w:p w14:paraId="437D877E" w14:textId="77777777" w:rsidR="009D62C9" w:rsidRDefault="009D62C9" w:rsidP="00CA7CA4">
            <w:pPr>
              <w:rPr>
                <w:rFonts w:ascii="Arial" w:hAnsi="Arial" w:cs="Arial"/>
              </w:rPr>
            </w:pPr>
            <w:r>
              <w:rPr>
                <w:rFonts w:ascii="Arial" w:hAnsi="Arial" w:cs="Arial"/>
              </w:rPr>
              <w:t>Hints for group</w:t>
            </w:r>
          </w:p>
        </w:tc>
        <w:tc>
          <w:tcPr>
            <w:tcW w:w="7015" w:type="dxa"/>
          </w:tcPr>
          <w:p w14:paraId="187A68A3" w14:textId="1E91433D" w:rsidR="009D62C9" w:rsidRDefault="002D09A8" w:rsidP="009D62C9">
            <w:pPr>
              <w:pStyle w:val="ListParagraph"/>
              <w:numPr>
                <w:ilvl w:val="0"/>
                <w:numId w:val="5"/>
              </w:numPr>
              <w:rPr>
                <w:rFonts w:ascii="Arial" w:hAnsi="Arial" w:cs="Arial"/>
              </w:rPr>
            </w:pPr>
            <w:r>
              <w:rPr>
                <w:rFonts w:ascii="Arial" w:hAnsi="Arial" w:cs="Arial"/>
              </w:rPr>
              <w:t>Replicates of these experiments did not significantly affect the result.</w:t>
            </w:r>
          </w:p>
          <w:p w14:paraId="4C4F4FE4" w14:textId="5D04B4DB" w:rsidR="00007255" w:rsidRPr="005C7D54" w:rsidRDefault="004B7D77" w:rsidP="009D62C9">
            <w:pPr>
              <w:pStyle w:val="ListParagraph"/>
              <w:numPr>
                <w:ilvl w:val="0"/>
                <w:numId w:val="5"/>
              </w:numPr>
              <w:rPr>
                <w:rFonts w:ascii="Arial" w:hAnsi="Arial" w:cs="Arial"/>
              </w:rPr>
            </w:pPr>
            <w:r>
              <w:rPr>
                <w:rFonts w:ascii="Arial" w:hAnsi="Arial" w:cs="Arial"/>
              </w:rPr>
              <w:t>The fit seems to fail for concentrations up to the concentration of buffer in the growth medium, but is ok at higher concentrations.</w:t>
            </w:r>
          </w:p>
        </w:tc>
      </w:tr>
    </w:tbl>
    <w:p w14:paraId="05AE5E3C" w14:textId="77777777" w:rsidR="009D62C9" w:rsidRPr="00C4520A" w:rsidRDefault="009D62C9">
      <w:pPr>
        <w:rPr>
          <w:rFonts w:ascii="Arial" w:hAnsi="Arial" w:cs="Arial"/>
        </w:rPr>
      </w:pPr>
    </w:p>
    <w:p w14:paraId="502236A9" w14:textId="77777777" w:rsidR="00C4520A" w:rsidRPr="00C4520A" w:rsidRDefault="00C4520A">
      <w:pPr>
        <w:rPr>
          <w:rFonts w:ascii="Arial" w:hAnsi="Arial" w:cs="Arial"/>
        </w:rPr>
      </w:pPr>
    </w:p>
    <w:p w14:paraId="36876BE8" w14:textId="60352E32" w:rsidR="008C2038" w:rsidRDefault="001D2E89">
      <w:pPr>
        <w:rPr>
          <w:rFonts w:ascii="Arial" w:hAnsi="Arial" w:cs="Arial"/>
          <w:b/>
          <w:bCs/>
        </w:rPr>
      </w:pPr>
      <w:r w:rsidRPr="009D62C9">
        <w:rPr>
          <w:rFonts w:ascii="Arial" w:hAnsi="Arial" w:cs="Arial"/>
          <w:b/>
          <w:bCs/>
        </w:rPr>
        <w:t>Reference</w:t>
      </w:r>
      <w:r w:rsidR="00F67F99" w:rsidRPr="009D62C9">
        <w:rPr>
          <w:rFonts w:ascii="Arial" w:hAnsi="Arial" w:cs="Arial"/>
          <w:b/>
          <w:bCs/>
        </w:rPr>
        <w:t>s</w:t>
      </w:r>
      <w:r w:rsidRPr="009D62C9">
        <w:rPr>
          <w:rFonts w:ascii="Arial" w:hAnsi="Arial" w:cs="Arial"/>
          <w:b/>
          <w:bCs/>
        </w:rPr>
        <w:t>:</w:t>
      </w:r>
    </w:p>
    <w:p w14:paraId="4FDC9B29" w14:textId="4D85998D" w:rsidR="005B7F18" w:rsidRDefault="005B7F18" w:rsidP="005552DD">
      <w:pPr>
        <w:pStyle w:val="EndNoteBibliography"/>
        <w:numPr>
          <w:ilvl w:val="0"/>
          <w:numId w:val="7"/>
        </w:numPr>
        <w:rPr>
          <w:rFonts w:ascii="Arial" w:hAnsi="Arial" w:cs="Arial"/>
          <w:noProof/>
        </w:rPr>
      </w:pPr>
      <w:r w:rsidRPr="005B7F18">
        <w:rPr>
          <w:rFonts w:ascii="Arial" w:hAnsi="Arial" w:cs="Arial"/>
          <w:noProof/>
        </w:rPr>
        <w:t>Max, Jean-Joseph, and Camille Chapados. "Infrared spectroscopy of aqueous carboxylic acids: comparison between different acids and their salts." The Journal of Physical Chemistry A 108.16 (2004): 3324-3337.</w:t>
      </w:r>
    </w:p>
    <w:p w14:paraId="55BCE9A4" w14:textId="77777777" w:rsidR="002D09A8" w:rsidRPr="002D09A8" w:rsidRDefault="002D09A8" w:rsidP="002D09A8">
      <w:pPr>
        <w:pStyle w:val="EndNoteBibliography"/>
        <w:numPr>
          <w:ilvl w:val="0"/>
          <w:numId w:val="7"/>
        </w:numPr>
        <w:rPr>
          <w:rFonts w:ascii="Arial" w:hAnsi="Arial" w:cs="Arial"/>
          <w:noProof/>
        </w:rPr>
      </w:pPr>
      <w:r w:rsidRPr="002D09A8">
        <w:rPr>
          <w:rFonts w:ascii="Arial" w:hAnsi="Arial" w:cs="Arial"/>
          <w:noProof/>
        </w:rPr>
        <w:t xml:space="preserve">Semeraro, Paola, et al. "A simple strategy based on ATR-FTIR difference spectroscopy to monitor substrate intake and metabolite release by growing bacteria." </w:t>
      </w:r>
      <w:r w:rsidRPr="002D09A8">
        <w:rPr>
          <w:rFonts w:ascii="Arial" w:hAnsi="Arial" w:cs="Arial"/>
          <w:i/>
          <w:iCs/>
          <w:noProof/>
        </w:rPr>
        <w:t>Spectrochimica Acta Part A: Molecular and Biomolecular Spectroscopy</w:t>
      </w:r>
      <w:r w:rsidRPr="002D09A8">
        <w:rPr>
          <w:rFonts w:ascii="Arial" w:hAnsi="Arial" w:cs="Arial"/>
          <w:noProof/>
        </w:rPr>
        <w:t xml:space="preserve"> 302 (2023): 123031.</w:t>
      </w:r>
    </w:p>
    <w:p w14:paraId="3E30FA28" w14:textId="52336DF3" w:rsidR="002D09A8" w:rsidRPr="002D09A8" w:rsidRDefault="002D09A8" w:rsidP="002D09A8">
      <w:pPr>
        <w:pStyle w:val="EndNoteBibliography"/>
        <w:numPr>
          <w:ilvl w:val="0"/>
          <w:numId w:val="7"/>
        </w:numPr>
        <w:rPr>
          <w:rFonts w:ascii="Arial" w:hAnsi="Arial" w:cs="Arial"/>
          <w:noProof/>
        </w:rPr>
      </w:pPr>
      <w:r w:rsidRPr="002D09A8">
        <w:rPr>
          <w:rFonts w:ascii="Arial" w:hAnsi="Arial" w:cs="Arial"/>
          <w:noProof/>
        </w:rPr>
        <w:t xml:space="preserve">Mackie, David M., et al. "Simple, fast, and accurate methodology for quantitative analysis using Fourier transform infrared spectroscopy, with bio-hybrid fuel cell examples." </w:t>
      </w:r>
      <w:r w:rsidRPr="002D09A8">
        <w:rPr>
          <w:rFonts w:ascii="Arial" w:hAnsi="Arial" w:cs="Arial"/>
          <w:i/>
          <w:iCs/>
          <w:noProof/>
        </w:rPr>
        <w:t>MethodsX</w:t>
      </w:r>
      <w:r w:rsidRPr="002D09A8">
        <w:rPr>
          <w:rFonts w:ascii="Arial" w:hAnsi="Arial" w:cs="Arial"/>
          <w:noProof/>
        </w:rPr>
        <w:t xml:space="preserve"> 3 (2016): 128-138.</w:t>
      </w:r>
    </w:p>
    <w:sectPr w:rsidR="002D09A8" w:rsidRPr="002D09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DengXian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76CC4"/>
    <w:multiLevelType w:val="hybridMultilevel"/>
    <w:tmpl w:val="D4985BE4"/>
    <w:lvl w:ilvl="0" w:tplc="976C7AB2">
      <w:start w:val="1"/>
      <w:numFmt w:val="bullet"/>
      <w:lvlText w:val="•"/>
      <w:lvlJc w:val="left"/>
      <w:pPr>
        <w:tabs>
          <w:tab w:val="num" w:pos="720"/>
        </w:tabs>
        <w:ind w:left="720" w:hanging="360"/>
      </w:pPr>
      <w:rPr>
        <w:rFonts w:ascii="Arial" w:hAnsi="Arial" w:hint="default"/>
      </w:rPr>
    </w:lvl>
    <w:lvl w:ilvl="1" w:tplc="5C8E25BC">
      <w:start w:val="1"/>
      <w:numFmt w:val="bullet"/>
      <w:lvlText w:val="•"/>
      <w:lvlJc w:val="left"/>
      <w:pPr>
        <w:tabs>
          <w:tab w:val="num" w:pos="1440"/>
        </w:tabs>
        <w:ind w:left="1440" w:hanging="360"/>
      </w:pPr>
      <w:rPr>
        <w:rFonts w:ascii="Arial" w:hAnsi="Arial" w:hint="default"/>
      </w:rPr>
    </w:lvl>
    <w:lvl w:ilvl="2" w:tplc="04B8638E" w:tentative="1">
      <w:start w:val="1"/>
      <w:numFmt w:val="bullet"/>
      <w:lvlText w:val="•"/>
      <w:lvlJc w:val="left"/>
      <w:pPr>
        <w:tabs>
          <w:tab w:val="num" w:pos="2160"/>
        </w:tabs>
        <w:ind w:left="2160" w:hanging="360"/>
      </w:pPr>
      <w:rPr>
        <w:rFonts w:ascii="Arial" w:hAnsi="Arial" w:hint="default"/>
      </w:rPr>
    </w:lvl>
    <w:lvl w:ilvl="3" w:tplc="CDBC4DC4" w:tentative="1">
      <w:start w:val="1"/>
      <w:numFmt w:val="bullet"/>
      <w:lvlText w:val="•"/>
      <w:lvlJc w:val="left"/>
      <w:pPr>
        <w:tabs>
          <w:tab w:val="num" w:pos="2880"/>
        </w:tabs>
        <w:ind w:left="2880" w:hanging="360"/>
      </w:pPr>
      <w:rPr>
        <w:rFonts w:ascii="Arial" w:hAnsi="Arial" w:hint="default"/>
      </w:rPr>
    </w:lvl>
    <w:lvl w:ilvl="4" w:tplc="BD20EB18" w:tentative="1">
      <w:start w:val="1"/>
      <w:numFmt w:val="bullet"/>
      <w:lvlText w:val="•"/>
      <w:lvlJc w:val="left"/>
      <w:pPr>
        <w:tabs>
          <w:tab w:val="num" w:pos="3600"/>
        </w:tabs>
        <w:ind w:left="3600" w:hanging="360"/>
      </w:pPr>
      <w:rPr>
        <w:rFonts w:ascii="Arial" w:hAnsi="Arial" w:hint="default"/>
      </w:rPr>
    </w:lvl>
    <w:lvl w:ilvl="5" w:tplc="A2CC0C26" w:tentative="1">
      <w:start w:val="1"/>
      <w:numFmt w:val="bullet"/>
      <w:lvlText w:val="•"/>
      <w:lvlJc w:val="left"/>
      <w:pPr>
        <w:tabs>
          <w:tab w:val="num" w:pos="4320"/>
        </w:tabs>
        <w:ind w:left="4320" w:hanging="360"/>
      </w:pPr>
      <w:rPr>
        <w:rFonts w:ascii="Arial" w:hAnsi="Arial" w:hint="default"/>
      </w:rPr>
    </w:lvl>
    <w:lvl w:ilvl="6" w:tplc="891C7E8E" w:tentative="1">
      <w:start w:val="1"/>
      <w:numFmt w:val="bullet"/>
      <w:lvlText w:val="•"/>
      <w:lvlJc w:val="left"/>
      <w:pPr>
        <w:tabs>
          <w:tab w:val="num" w:pos="5040"/>
        </w:tabs>
        <w:ind w:left="5040" w:hanging="360"/>
      </w:pPr>
      <w:rPr>
        <w:rFonts w:ascii="Arial" w:hAnsi="Arial" w:hint="default"/>
      </w:rPr>
    </w:lvl>
    <w:lvl w:ilvl="7" w:tplc="93B03B04" w:tentative="1">
      <w:start w:val="1"/>
      <w:numFmt w:val="bullet"/>
      <w:lvlText w:val="•"/>
      <w:lvlJc w:val="left"/>
      <w:pPr>
        <w:tabs>
          <w:tab w:val="num" w:pos="5760"/>
        </w:tabs>
        <w:ind w:left="5760" w:hanging="360"/>
      </w:pPr>
      <w:rPr>
        <w:rFonts w:ascii="Arial" w:hAnsi="Arial" w:hint="default"/>
      </w:rPr>
    </w:lvl>
    <w:lvl w:ilvl="8" w:tplc="83B8986A"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28922DAC"/>
    <w:multiLevelType w:val="hybridMultilevel"/>
    <w:tmpl w:val="0B2CEFCE"/>
    <w:lvl w:ilvl="0" w:tplc="0409000F">
      <w:start w:val="1"/>
      <w:numFmt w:val="decimal"/>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 w15:restartNumberingAfterBreak="0">
    <w:nsid w:val="289B0CD0"/>
    <w:multiLevelType w:val="hybridMultilevel"/>
    <w:tmpl w:val="73ECA182"/>
    <w:lvl w:ilvl="0" w:tplc="848EB08C">
      <w:start w:val="1"/>
      <w:numFmt w:val="bullet"/>
      <w:lvlText w:val="–"/>
      <w:lvlJc w:val="left"/>
      <w:pPr>
        <w:tabs>
          <w:tab w:val="num" w:pos="720"/>
        </w:tabs>
        <w:ind w:left="720" w:hanging="360"/>
      </w:pPr>
      <w:rPr>
        <w:rFonts w:ascii="Arial" w:hAnsi="Arial" w:hint="default"/>
      </w:rPr>
    </w:lvl>
    <w:lvl w:ilvl="1" w:tplc="95100166">
      <w:start w:val="1"/>
      <w:numFmt w:val="bullet"/>
      <w:lvlText w:val="–"/>
      <w:lvlJc w:val="left"/>
      <w:pPr>
        <w:tabs>
          <w:tab w:val="num" w:pos="1440"/>
        </w:tabs>
        <w:ind w:left="1440" w:hanging="360"/>
      </w:pPr>
      <w:rPr>
        <w:rFonts w:ascii="Arial" w:hAnsi="Arial" w:hint="default"/>
      </w:rPr>
    </w:lvl>
    <w:lvl w:ilvl="2" w:tplc="2390C8E0" w:tentative="1">
      <w:start w:val="1"/>
      <w:numFmt w:val="bullet"/>
      <w:lvlText w:val="–"/>
      <w:lvlJc w:val="left"/>
      <w:pPr>
        <w:tabs>
          <w:tab w:val="num" w:pos="2160"/>
        </w:tabs>
        <w:ind w:left="2160" w:hanging="360"/>
      </w:pPr>
      <w:rPr>
        <w:rFonts w:ascii="Arial" w:hAnsi="Arial" w:hint="default"/>
      </w:rPr>
    </w:lvl>
    <w:lvl w:ilvl="3" w:tplc="BEBA643A" w:tentative="1">
      <w:start w:val="1"/>
      <w:numFmt w:val="bullet"/>
      <w:lvlText w:val="–"/>
      <w:lvlJc w:val="left"/>
      <w:pPr>
        <w:tabs>
          <w:tab w:val="num" w:pos="2880"/>
        </w:tabs>
        <w:ind w:left="2880" w:hanging="360"/>
      </w:pPr>
      <w:rPr>
        <w:rFonts w:ascii="Arial" w:hAnsi="Arial" w:hint="default"/>
      </w:rPr>
    </w:lvl>
    <w:lvl w:ilvl="4" w:tplc="950A41F6" w:tentative="1">
      <w:start w:val="1"/>
      <w:numFmt w:val="bullet"/>
      <w:lvlText w:val="–"/>
      <w:lvlJc w:val="left"/>
      <w:pPr>
        <w:tabs>
          <w:tab w:val="num" w:pos="3600"/>
        </w:tabs>
        <w:ind w:left="3600" w:hanging="360"/>
      </w:pPr>
      <w:rPr>
        <w:rFonts w:ascii="Arial" w:hAnsi="Arial" w:hint="default"/>
      </w:rPr>
    </w:lvl>
    <w:lvl w:ilvl="5" w:tplc="C98480C2" w:tentative="1">
      <w:start w:val="1"/>
      <w:numFmt w:val="bullet"/>
      <w:lvlText w:val="–"/>
      <w:lvlJc w:val="left"/>
      <w:pPr>
        <w:tabs>
          <w:tab w:val="num" w:pos="4320"/>
        </w:tabs>
        <w:ind w:left="4320" w:hanging="360"/>
      </w:pPr>
      <w:rPr>
        <w:rFonts w:ascii="Arial" w:hAnsi="Arial" w:hint="default"/>
      </w:rPr>
    </w:lvl>
    <w:lvl w:ilvl="6" w:tplc="280496F0" w:tentative="1">
      <w:start w:val="1"/>
      <w:numFmt w:val="bullet"/>
      <w:lvlText w:val="–"/>
      <w:lvlJc w:val="left"/>
      <w:pPr>
        <w:tabs>
          <w:tab w:val="num" w:pos="5040"/>
        </w:tabs>
        <w:ind w:left="5040" w:hanging="360"/>
      </w:pPr>
      <w:rPr>
        <w:rFonts w:ascii="Arial" w:hAnsi="Arial" w:hint="default"/>
      </w:rPr>
    </w:lvl>
    <w:lvl w:ilvl="7" w:tplc="05AC16D2" w:tentative="1">
      <w:start w:val="1"/>
      <w:numFmt w:val="bullet"/>
      <w:lvlText w:val="–"/>
      <w:lvlJc w:val="left"/>
      <w:pPr>
        <w:tabs>
          <w:tab w:val="num" w:pos="5760"/>
        </w:tabs>
        <w:ind w:left="5760" w:hanging="360"/>
      </w:pPr>
      <w:rPr>
        <w:rFonts w:ascii="Arial" w:hAnsi="Arial" w:hint="default"/>
      </w:rPr>
    </w:lvl>
    <w:lvl w:ilvl="8" w:tplc="CD0856E0"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34A43D56"/>
    <w:multiLevelType w:val="hybridMultilevel"/>
    <w:tmpl w:val="B5A29CEA"/>
    <w:lvl w:ilvl="0" w:tplc="64241CFC">
      <w:start w:val="1"/>
      <w:numFmt w:val="bullet"/>
      <w:lvlText w:val="•"/>
      <w:lvlJc w:val="left"/>
      <w:pPr>
        <w:tabs>
          <w:tab w:val="num" w:pos="720"/>
        </w:tabs>
        <w:ind w:left="720" w:hanging="360"/>
      </w:pPr>
      <w:rPr>
        <w:rFonts w:ascii="Arial" w:hAnsi="Arial" w:hint="default"/>
      </w:rPr>
    </w:lvl>
    <w:lvl w:ilvl="1" w:tplc="4C8E64A4">
      <w:start w:val="1"/>
      <w:numFmt w:val="bullet"/>
      <w:lvlText w:val="•"/>
      <w:lvlJc w:val="left"/>
      <w:pPr>
        <w:tabs>
          <w:tab w:val="num" w:pos="1440"/>
        </w:tabs>
        <w:ind w:left="1440" w:hanging="360"/>
      </w:pPr>
      <w:rPr>
        <w:rFonts w:ascii="Arial" w:hAnsi="Arial" w:hint="default"/>
      </w:rPr>
    </w:lvl>
    <w:lvl w:ilvl="2" w:tplc="5E82FA42" w:tentative="1">
      <w:start w:val="1"/>
      <w:numFmt w:val="bullet"/>
      <w:lvlText w:val="•"/>
      <w:lvlJc w:val="left"/>
      <w:pPr>
        <w:tabs>
          <w:tab w:val="num" w:pos="2160"/>
        </w:tabs>
        <w:ind w:left="2160" w:hanging="360"/>
      </w:pPr>
      <w:rPr>
        <w:rFonts w:ascii="Arial" w:hAnsi="Arial" w:hint="default"/>
      </w:rPr>
    </w:lvl>
    <w:lvl w:ilvl="3" w:tplc="6A1C3EDC" w:tentative="1">
      <w:start w:val="1"/>
      <w:numFmt w:val="bullet"/>
      <w:lvlText w:val="•"/>
      <w:lvlJc w:val="left"/>
      <w:pPr>
        <w:tabs>
          <w:tab w:val="num" w:pos="2880"/>
        </w:tabs>
        <w:ind w:left="2880" w:hanging="360"/>
      </w:pPr>
      <w:rPr>
        <w:rFonts w:ascii="Arial" w:hAnsi="Arial" w:hint="default"/>
      </w:rPr>
    </w:lvl>
    <w:lvl w:ilvl="4" w:tplc="F3943764" w:tentative="1">
      <w:start w:val="1"/>
      <w:numFmt w:val="bullet"/>
      <w:lvlText w:val="•"/>
      <w:lvlJc w:val="left"/>
      <w:pPr>
        <w:tabs>
          <w:tab w:val="num" w:pos="3600"/>
        </w:tabs>
        <w:ind w:left="3600" w:hanging="360"/>
      </w:pPr>
      <w:rPr>
        <w:rFonts w:ascii="Arial" w:hAnsi="Arial" w:hint="default"/>
      </w:rPr>
    </w:lvl>
    <w:lvl w:ilvl="5" w:tplc="822E9FE6" w:tentative="1">
      <w:start w:val="1"/>
      <w:numFmt w:val="bullet"/>
      <w:lvlText w:val="•"/>
      <w:lvlJc w:val="left"/>
      <w:pPr>
        <w:tabs>
          <w:tab w:val="num" w:pos="4320"/>
        </w:tabs>
        <w:ind w:left="4320" w:hanging="360"/>
      </w:pPr>
      <w:rPr>
        <w:rFonts w:ascii="Arial" w:hAnsi="Arial" w:hint="default"/>
      </w:rPr>
    </w:lvl>
    <w:lvl w:ilvl="6" w:tplc="E9980066" w:tentative="1">
      <w:start w:val="1"/>
      <w:numFmt w:val="bullet"/>
      <w:lvlText w:val="•"/>
      <w:lvlJc w:val="left"/>
      <w:pPr>
        <w:tabs>
          <w:tab w:val="num" w:pos="5040"/>
        </w:tabs>
        <w:ind w:left="5040" w:hanging="360"/>
      </w:pPr>
      <w:rPr>
        <w:rFonts w:ascii="Arial" w:hAnsi="Arial" w:hint="default"/>
      </w:rPr>
    </w:lvl>
    <w:lvl w:ilvl="7" w:tplc="85FC7C72" w:tentative="1">
      <w:start w:val="1"/>
      <w:numFmt w:val="bullet"/>
      <w:lvlText w:val="•"/>
      <w:lvlJc w:val="left"/>
      <w:pPr>
        <w:tabs>
          <w:tab w:val="num" w:pos="5760"/>
        </w:tabs>
        <w:ind w:left="5760" w:hanging="360"/>
      </w:pPr>
      <w:rPr>
        <w:rFonts w:ascii="Arial" w:hAnsi="Arial" w:hint="default"/>
      </w:rPr>
    </w:lvl>
    <w:lvl w:ilvl="8" w:tplc="C87CFA0C"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36547502"/>
    <w:multiLevelType w:val="hybridMultilevel"/>
    <w:tmpl w:val="E5AA377A"/>
    <w:lvl w:ilvl="0" w:tplc="0409000F">
      <w:start w:val="1"/>
      <w:numFmt w:val="decimal"/>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 w15:restartNumberingAfterBreak="0">
    <w:nsid w:val="37591A6E"/>
    <w:multiLevelType w:val="hybridMultilevel"/>
    <w:tmpl w:val="3140D414"/>
    <w:lvl w:ilvl="0" w:tplc="AD46EC80">
      <w:start w:val="1"/>
      <w:numFmt w:val="bullet"/>
      <w:lvlText w:val="•"/>
      <w:lvlJc w:val="left"/>
      <w:pPr>
        <w:tabs>
          <w:tab w:val="num" w:pos="720"/>
        </w:tabs>
        <w:ind w:left="720" w:hanging="360"/>
      </w:pPr>
      <w:rPr>
        <w:rFonts w:ascii="Arial" w:hAnsi="Arial" w:hint="default"/>
      </w:rPr>
    </w:lvl>
    <w:lvl w:ilvl="1" w:tplc="87343670" w:tentative="1">
      <w:start w:val="1"/>
      <w:numFmt w:val="bullet"/>
      <w:lvlText w:val="•"/>
      <w:lvlJc w:val="left"/>
      <w:pPr>
        <w:tabs>
          <w:tab w:val="num" w:pos="1440"/>
        </w:tabs>
        <w:ind w:left="1440" w:hanging="360"/>
      </w:pPr>
      <w:rPr>
        <w:rFonts w:ascii="Arial" w:hAnsi="Arial" w:hint="default"/>
      </w:rPr>
    </w:lvl>
    <w:lvl w:ilvl="2" w:tplc="CF8E0802" w:tentative="1">
      <w:start w:val="1"/>
      <w:numFmt w:val="bullet"/>
      <w:lvlText w:val="•"/>
      <w:lvlJc w:val="left"/>
      <w:pPr>
        <w:tabs>
          <w:tab w:val="num" w:pos="2160"/>
        </w:tabs>
        <w:ind w:left="2160" w:hanging="360"/>
      </w:pPr>
      <w:rPr>
        <w:rFonts w:ascii="Arial" w:hAnsi="Arial" w:hint="default"/>
      </w:rPr>
    </w:lvl>
    <w:lvl w:ilvl="3" w:tplc="A4D07114" w:tentative="1">
      <w:start w:val="1"/>
      <w:numFmt w:val="bullet"/>
      <w:lvlText w:val="•"/>
      <w:lvlJc w:val="left"/>
      <w:pPr>
        <w:tabs>
          <w:tab w:val="num" w:pos="2880"/>
        </w:tabs>
        <w:ind w:left="2880" w:hanging="360"/>
      </w:pPr>
      <w:rPr>
        <w:rFonts w:ascii="Arial" w:hAnsi="Arial" w:hint="default"/>
      </w:rPr>
    </w:lvl>
    <w:lvl w:ilvl="4" w:tplc="8570A0CC" w:tentative="1">
      <w:start w:val="1"/>
      <w:numFmt w:val="bullet"/>
      <w:lvlText w:val="•"/>
      <w:lvlJc w:val="left"/>
      <w:pPr>
        <w:tabs>
          <w:tab w:val="num" w:pos="3600"/>
        </w:tabs>
        <w:ind w:left="3600" w:hanging="360"/>
      </w:pPr>
      <w:rPr>
        <w:rFonts w:ascii="Arial" w:hAnsi="Arial" w:hint="default"/>
      </w:rPr>
    </w:lvl>
    <w:lvl w:ilvl="5" w:tplc="47C6EF96" w:tentative="1">
      <w:start w:val="1"/>
      <w:numFmt w:val="bullet"/>
      <w:lvlText w:val="•"/>
      <w:lvlJc w:val="left"/>
      <w:pPr>
        <w:tabs>
          <w:tab w:val="num" w:pos="4320"/>
        </w:tabs>
        <w:ind w:left="4320" w:hanging="360"/>
      </w:pPr>
      <w:rPr>
        <w:rFonts w:ascii="Arial" w:hAnsi="Arial" w:hint="default"/>
      </w:rPr>
    </w:lvl>
    <w:lvl w:ilvl="6" w:tplc="FF8E72C8" w:tentative="1">
      <w:start w:val="1"/>
      <w:numFmt w:val="bullet"/>
      <w:lvlText w:val="•"/>
      <w:lvlJc w:val="left"/>
      <w:pPr>
        <w:tabs>
          <w:tab w:val="num" w:pos="5040"/>
        </w:tabs>
        <w:ind w:left="5040" w:hanging="360"/>
      </w:pPr>
      <w:rPr>
        <w:rFonts w:ascii="Arial" w:hAnsi="Arial" w:hint="default"/>
      </w:rPr>
    </w:lvl>
    <w:lvl w:ilvl="7" w:tplc="E74E4B36" w:tentative="1">
      <w:start w:val="1"/>
      <w:numFmt w:val="bullet"/>
      <w:lvlText w:val="•"/>
      <w:lvlJc w:val="left"/>
      <w:pPr>
        <w:tabs>
          <w:tab w:val="num" w:pos="5760"/>
        </w:tabs>
        <w:ind w:left="5760" w:hanging="360"/>
      </w:pPr>
      <w:rPr>
        <w:rFonts w:ascii="Arial" w:hAnsi="Arial" w:hint="default"/>
      </w:rPr>
    </w:lvl>
    <w:lvl w:ilvl="8" w:tplc="C3B0B310"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4ECE72AD"/>
    <w:multiLevelType w:val="hybridMultilevel"/>
    <w:tmpl w:val="9692D26C"/>
    <w:lvl w:ilvl="0" w:tplc="D7264BF6">
      <w:start w:val="2"/>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54B26F88"/>
    <w:multiLevelType w:val="hybridMultilevel"/>
    <w:tmpl w:val="1F3A7C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73221D2E"/>
    <w:multiLevelType w:val="hybridMultilevel"/>
    <w:tmpl w:val="A538D6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749141A7"/>
    <w:multiLevelType w:val="hybridMultilevel"/>
    <w:tmpl w:val="B802AAE6"/>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 w15:restartNumberingAfterBreak="0">
    <w:nsid w:val="7A782ED1"/>
    <w:multiLevelType w:val="hybridMultilevel"/>
    <w:tmpl w:val="03F420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C3304CA"/>
    <w:multiLevelType w:val="hybridMultilevel"/>
    <w:tmpl w:val="A008BBC2"/>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7E3459A8"/>
    <w:multiLevelType w:val="hybridMultilevel"/>
    <w:tmpl w:val="AFB67A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96085662">
    <w:abstractNumId w:val="9"/>
  </w:num>
  <w:num w:numId="2" w16cid:durableId="1681544165">
    <w:abstractNumId w:val="11"/>
  </w:num>
  <w:num w:numId="3" w16cid:durableId="272445909">
    <w:abstractNumId w:val="12"/>
  </w:num>
  <w:num w:numId="4" w16cid:durableId="852115225">
    <w:abstractNumId w:val="7"/>
  </w:num>
  <w:num w:numId="5" w16cid:durableId="1191649881">
    <w:abstractNumId w:val="8"/>
  </w:num>
  <w:num w:numId="6" w16cid:durableId="763647361">
    <w:abstractNumId w:val="2"/>
  </w:num>
  <w:num w:numId="7" w16cid:durableId="1317343686">
    <w:abstractNumId w:val="10"/>
  </w:num>
  <w:num w:numId="8" w16cid:durableId="1146623567">
    <w:abstractNumId w:val="0"/>
  </w:num>
  <w:num w:numId="9" w16cid:durableId="880560450">
    <w:abstractNumId w:val="3"/>
  </w:num>
  <w:num w:numId="10" w16cid:durableId="1352607935">
    <w:abstractNumId w:val="6"/>
  </w:num>
  <w:num w:numId="11" w16cid:durableId="1543012303">
    <w:abstractNumId w:val="1"/>
  </w:num>
  <w:num w:numId="12" w16cid:durableId="542524072">
    <w:abstractNumId w:val="4"/>
  </w:num>
  <w:num w:numId="13" w16cid:durableId="14235199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Nature&lt;/Style&gt;&lt;LeftDelim&gt;{&lt;/LeftDelim&gt;&lt;RightDelim&gt;}&lt;/RightDelim&gt;&lt;FontName&gt;Aptos&lt;/FontName&gt;&lt;FontSize&gt;12&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C4520A"/>
    <w:rsid w:val="00007255"/>
    <w:rsid w:val="000444D0"/>
    <w:rsid w:val="000F3CEA"/>
    <w:rsid w:val="0016218A"/>
    <w:rsid w:val="001B56CA"/>
    <w:rsid w:val="001D2E89"/>
    <w:rsid w:val="001F43B3"/>
    <w:rsid w:val="00231FAA"/>
    <w:rsid w:val="0029015A"/>
    <w:rsid w:val="002D09A8"/>
    <w:rsid w:val="00370B79"/>
    <w:rsid w:val="00454CB3"/>
    <w:rsid w:val="00485601"/>
    <w:rsid w:val="004876DA"/>
    <w:rsid w:val="004B4AC3"/>
    <w:rsid w:val="004B7D77"/>
    <w:rsid w:val="004C69BE"/>
    <w:rsid w:val="004F28C9"/>
    <w:rsid w:val="00524E30"/>
    <w:rsid w:val="005552DD"/>
    <w:rsid w:val="00582B68"/>
    <w:rsid w:val="005A367A"/>
    <w:rsid w:val="005B7F18"/>
    <w:rsid w:val="00603B6B"/>
    <w:rsid w:val="006125D2"/>
    <w:rsid w:val="00655AB8"/>
    <w:rsid w:val="00664765"/>
    <w:rsid w:val="0066578D"/>
    <w:rsid w:val="006A5F7E"/>
    <w:rsid w:val="006E41FD"/>
    <w:rsid w:val="00712994"/>
    <w:rsid w:val="00715E74"/>
    <w:rsid w:val="007533E7"/>
    <w:rsid w:val="00820AFC"/>
    <w:rsid w:val="008551B7"/>
    <w:rsid w:val="008932E7"/>
    <w:rsid w:val="008A1B61"/>
    <w:rsid w:val="008C2038"/>
    <w:rsid w:val="00916B25"/>
    <w:rsid w:val="009352A9"/>
    <w:rsid w:val="00971A56"/>
    <w:rsid w:val="00972E10"/>
    <w:rsid w:val="009A25D0"/>
    <w:rsid w:val="009D62C9"/>
    <w:rsid w:val="00A25853"/>
    <w:rsid w:val="00A45ADA"/>
    <w:rsid w:val="00AA304F"/>
    <w:rsid w:val="00B27A60"/>
    <w:rsid w:val="00B32986"/>
    <w:rsid w:val="00B4183E"/>
    <w:rsid w:val="00B44D29"/>
    <w:rsid w:val="00B81597"/>
    <w:rsid w:val="00BB16F8"/>
    <w:rsid w:val="00BB4861"/>
    <w:rsid w:val="00C4520A"/>
    <w:rsid w:val="00C74F18"/>
    <w:rsid w:val="00CE0D6D"/>
    <w:rsid w:val="00DF1DD5"/>
    <w:rsid w:val="00E936B0"/>
    <w:rsid w:val="00ED43E8"/>
    <w:rsid w:val="00EF7047"/>
    <w:rsid w:val="00F40D3F"/>
    <w:rsid w:val="00F44AAE"/>
    <w:rsid w:val="00F6343F"/>
    <w:rsid w:val="00F67F99"/>
    <w:rsid w:val="00FA402C"/>
    <w:rsid w:val="00FE7D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B15803"/>
  <w15:chartTrackingRefBased/>
  <w15:docId w15:val="{77506DC8-7459-9749-80E0-F6F7CAF00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4520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4520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4520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4520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4520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4520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4520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4520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4520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4520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4520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4520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4520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4520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4520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4520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4520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4520A"/>
    <w:rPr>
      <w:rFonts w:eastAsiaTheme="majorEastAsia" w:cstheme="majorBidi"/>
      <w:color w:val="272727" w:themeColor="text1" w:themeTint="D8"/>
    </w:rPr>
  </w:style>
  <w:style w:type="paragraph" w:styleId="Title">
    <w:name w:val="Title"/>
    <w:basedOn w:val="Normal"/>
    <w:next w:val="Normal"/>
    <w:link w:val="TitleChar"/>
    <w:uiPriority w:val="10"/>
    <w:qFormat/>
    <w:rsid w:val="00C4520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4520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4520A"/>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4520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4520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4520A"/>
    <w:rPr>
      <w:i/>
      <w:iCs/>
      <w:color w:val="404040" w:themeColor="text1" w:themeTint="BF"/>
    </w:rPr>
  </w:style>
  <w:style w:type="paragraph" w:styleId="ListParagraph">
    <w:name w:val="List Paragraph"/>
    <w:basedOn w:val="Normal"/>
    <w:uiPriority w:val="34"/>
    <w:qFormat/>
    <w:rsid w:val="00C4520A"/>
    <w:pPr>
      <w:ind w:left="720"/>
      <w:contextualSpacing/>
    </w:pPr>
  </w:style>
  <w:style w:type="character" w:styleId="IntenseEmphasis">
    <w:name w:val="Intense Emphasis"/>
    <w:basedOn w:val="DefaultParagraphFont"/>
    <w:uiPriority w:val="21"/>
    <w:qFormat/>
    <w:rsid w:val="00C4520A"/>
    <w:rPr>
      <w:i/>
      <w:iCs/>
      <w:color w:val="0F4761" w:themeColor="accent1" w:themeShade="BF"/>
    </w:rPr>
  </w:style>
  <w:style w:type="paragraph" w:styleId="IntenseQuote">
    <w:name w:val="Intense Quote"/>
    <w:basedOn w:val="Normal"/>
    <w:next w:val="Normal"/>
    <w:link w:val="IntenseQuoteChar"/>
    <w:uiPriority w:val="30"/>
    <w:qFormat/>
    <w:rsid w:val="00C4520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4520A"/>
    <w:rPr>
      <w:i/>
      <w:iCs/>
      <w:color w:val="0F4761" w:themeColor="accent1" w:themeShade="BF"/>
    </w:rPr>
  </w:style>
  <w:style w:type="character" w:styleId="IntenseReference">
    <w:name w:val="Intense Reference"/>
    <w:basedOn w:val="DefaultParagraphFont"/>
    <w:uiPriority w:val="32"/>
    <w:qFormat/>
    <w:rsid w:val="00C4520A"/>
    <w:rPr>
      <w:b/>
      <w:bCs/>
      <w:smallCaps/>
      <w:color w:val="0F4761" w:themeColor="accent1" w:themeShade="BF"/>
      <w:spacing w:val="5"/>
    </w:rPr>
  </w:style>
  <w:style w:type="paragraph" w:customStyle="1" w:styleId="EndNoteBibliographyTitle">
    <w:name w:val="EndNote Bibliography Title"/>
    <w:basedOn w:val="Normal"/>
    <w:link w:val="EndNoteBibliographyTitleChar"/>
    <w:rsid w:val="008C2038"/>
    <w:pPr>
      <w:jc w:val="center"/>
    </w:pPr>
    <w:rPr>
      <w:rFonts w:ascii="Aptos" w:hAnsi="Aptos"/>
    </w:rPr>
  </w:style>
  <w:style w:type="character" w:customStyle="1" w:styleId="EndNoteBibliographyTitleChar">
    <w:name w:val="EndNote Bibliography Title Char"/>
    <w:basedOn w:val="DefaultParagraphFont"/>
    <w:link w:val="EndNoteBibliographyTitle"/>
    <w:rsid w:val="008C2038"/>
    <w:rPr>
      <w:rFonts w:ascii="Aptos" w:hAnsi="Aptos"/>
    </w:rPr>
  </w:style>
  <w:style w:type="paragraph" w:customStyle="1" w:styleId="EndNoteBibliography">
    <w:name w:val="EndNote Bibliography"/>
    <w:basedOn w:val="Normal"/>
    <w:link w:val="EndNoteBibliographyChar"/>
    <w:rsid w:val="008C2038"/>
    <w:rPr>
      <w:rFonts w:ascii="Aptos" w:hAnsi="Aptos"/>
    </w:rPr>
  </w:style>
  <w:style w:type="character" w:customStyle="1" w:styleId="EndNoteBibliographyChar">
    <w:name w:val="EndNote Bibliography Char"/>
    <w:basedOn w:val="DefaultParagraphFont"/>
    <w:link w:val="EndNoteBibliography"/>
    <w:rsid w:val="008C2038"/>
    <w:rPr>
      <w:rFonts w:ascii="Aptos" w:hAnsi="Aptos"/>
    </w:rPr>
  </w:style>
  <w:style w:type="character" w:styleId="Hyperlink">
    <w:name w:val="Hyperlink"/>
    <w:basedOn w:val="DefaultParagraphFont"/>
    <w:uiPriority w:val="99"/>
    <w:unhideWhenUsed/>
    <w:rsid w:val="008C2038"/>
    <w:rPr>
      <w:color w:val="467886" w:themeColor="hyperlink"/>
      <w:u w:val="single"/>
    </w:rPr>
  </w:style>
  <w:style w:type="character" w:styleId="UnresolvedMention">
    <w:name w:val="Unresolved Mention"/>
    <w:basedOn w:val="DefaultParagraphFont"/>
    <w:uiPriority w:val="99"/>
    <w:semiHidden/>
    <w:unhideWhenUsed/>
    <w:rsid w:val="008C2038"/>
    <w:rPr>
      <w:color w:val="605E5C"/>
      <w:shd w:val="clear" w:color="auto" w:fill="E1DFDD"/>
    </w:rPr>
  </w:style>
  <w:style w:type="paragraph" w:styleId="Revision">
    <w:name w:val="Revision"/>
    <w:hidden/>
    <w:uiPriority w:val="99"/>
    <w:semiHidden/>
    <w:rsid w:val="00B81597"/>
  </w:style>
  <w:style w:type="character" w:styleId="CommentReference">
    <w:name w:val="annotation reference"/>
    <w:basedOn w:val="DefaultParagraphFont"/>
    <w:uiPriority w:val="99"/>
    <w:semiHidden/>
    <w:unhideWhenUsed/>
    <w:rsid w:val="00B81597"/>
    <w:rPr>
      <w:sz w:val="16"/>
      <w:szCs w:val="16"/>
    </w:rPr>
  </w:style>
  <w:style w:type="paragraph" w:styleId="CommentText">
    <w:name w:val="annotation text"/>
    <w:basedOn w:val="Normal"/>
    <w:link w:val="CommentTextChar"/>
    <w:uiPriority w:val="99"/>
    <w:semiHidden/>
    <w:unhideWhenUsed/>
    <w:rsid w:val="00B81597"/>
    <w:rPr>
      <w:sz w:val="20"/>
      <w:szCs w:val="20"/>
    </w:rPr>
  </w:style>
  <w:style w:type="character" w:customStyle="1" w:styleId="CommentTextChar">
    <w:name w:val="Comment Text Char"/>
    <w:basedOn w:val="DefaultParagraphFont"/>
    <w:link w:val="CommentText"/>
    <w:uiPriority w:val="99"/>
    <w:semiHidden/>
    <w:rsid w:val="00B81597"/>
    <w:rPr>
      <w:sz w:val="20"/>
      <w:szCs w:val="20"/>
    </w:rPr>
  </w:style>
  <w:style w:type="paragraph" w:styleId="CommentSubject">
    <w:name w:val="annotation subject"/>
    <w:basedOn w:val="CommentText"/>
    <w:next w:val="CommentText"/>
    <w:link w:val="CommentSubjectChar"/>
    <w:uiPriority w:val="99"/>
    <w:semiHidden/>
    <w:unhideWhenUsed/>
    <w:rsid w:val="00B81597"/>
    <w:rPr>
      <w:b/>
      <w:bCs/>
    </w:rPr>
  </w:style>
  <w:style w:type="character" w:customStyle="1" w:styleId="CommentSubjectChar">
    <w:name w:val="Comment Subject Char"/>
    <w:basedOn w:val="CommentTextChar"/>
    <w:link w:val="CommentSubject"/>
    <w:uiPriority w:val="99"/>
    <w:semiHidden/>
    <w:rsid w:val="00B81597"/>
    <w:rPr>
      <w:b/>
      <w:bCs/>
      <w:sz w:val="20"/>
      <w:szCs w:val="20"/>
    </w:rPr>
  </w:style>
  <w:style w:type="table" w:styleId="TableGrid">
    <w:name w:val="Table Grid"/>
    <w:basedOn w:val="TableNormal"/>
    <w:uiPriority w:val="39"/>
    <w:rsid w:val="009D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019382">
      <w:bodyDiv w:val="1"/>
      <w:marLeft w:val="0"/>
      <w:marRight w:val="0"/>
      <w:marTop w:val="0"/>
      <w:marBottom w:val="0"/>
      <w:divBdr>
        <w:top w:val="none" w:sz="0" w:space="0" w:color="auto"/>
        <w:left w:val="none" w:sz="0" w:space="0" w:color="auto"/>
        <w:bottom w:val="none" w:sz="0" w:space="0" w:color="auto"/>
        <w:right w:val="none" w:sz="0" w:space="0" w:color="auto"/>
      </w:divBdr>
      <w:divsChild>
        <w:div w:id="2104908346">
          <w:marLeft w:val="1080"/>
          <w:marRight w:val="0"/>
          <w:marTop w:val="100"/>
          <w:marBottom w:val="0"/>
          <w:divBdr>
            <w:top w:val="none" w:sz="0" w:space="0" w:color="auto"/>
            <w:left w:val="none" w:sz="0" w:space="0" w:color="auto"/>
            <w:bottom w:val="none" w:sz="0" w:space="0" w:color="auto"/>
            <w:right w:val="none" w:sz="0" w:space="0" w:color="auto"/>
          </w:divBdr>
        </w:div>
        <w:div w:id="243957686">
          <w:marLeft w:val="1080"/>
          <w:marRight w:val="0"/>
          <w:marTop w:val="100"/>
          <w:marBottom w:val="0"/>
          <w:divBdr>
            <w:top w:val="none" w:sz="0" w:space="0" w:color="auto"/>
            <w:left w:val="none" w:sz="0" w:space="0" w:color="auto"/>
            <w:bottom w:val="none" w:sz="0" w:space="0" w:color="auto"/>
            <w:right w:val="none" w:sz="0" w:space="0" w:color="auto"/>
          </w:divBdr>
        </w:div>
      </w:divsChild>
    </w:div>
    <w:div w:id="295529839">
      <w:bodyDiv w:val="1"/>
      <w:marLeft w:val="0"/>
      <w:marRight w:val="0"/>
      <w:marTop w:val="0"/>
      <w:marBottom w:val="0"/>
      <w:divBdr>
        <w:top w:val="none" w:sz="0" w:space="0" w:color="auto"/>
        <w:left w:val="none" w:sz="0" w:space="0" w:color="auto"/>
        <w:bottom w:val="none" w:sz="0" w:space="0" w:color="auto"/>
        <w:right w:val="none" w:sz="0" w:space="0" w:color="auto"/>
      </w:divBdr>
    </w:div>
    <w:div w:id="306085426">
      <w:bodyDiv w:val="1"/>
      <w:marLeft w:val="0"/>
      <w:marRight w:val="0"/>
      <w:marTop w:val="0"/>
      <w:marBottom w:val="0"/>
      <w:divBdr>
        <w:top w:val="none" w:sz="0" w:space="0" w:color="auto"/>
        <w:left w:val="none" w:sz="0" w:space="0" w:color="auto"/>
        <w:bottom w:val="none" w:sz="0" w:space="0" w:color="auto"/>
        <w:right w:val="none" w:sz="0" w:space="0" w:color="auto"/>
      </w:divBdr>
      <w:divsChild>
        <w:div w:id="1050961654">
          <w:marLeft w:val="0"/>
          <w:marRight w:val="0"/>
          <w:marTop w:val="0"/>
          <w:marBottom w:val="0"/>
          <w:divBdr>
            <w:top w:val="none" w:sz="0" w:space="0" w:color="auto"/>
            <w:left w:val="none" w:sz="0" w:space="0" w:color="auto"/>
            <w:bottom w:val="none" w:sz="0" w:space="0" w:color="auto"/>
            <w:right w:val="none" w:sz="0" w:space="0" w:color="auto"/>
          </w:divBdr>
        </w:div>
      </w:divsChild>
    </w:div>
    <w:div w:id="571351200">
      <w:bodyDiv w:val="1"/>
      <w:marLeft w:val="0"/>
      <w:marRight w:val="0"/>
      <w:marTop w:val="0"/>
      <w:marBottom w:val="0"/>
      <w:divBdr>
        <w:top w:val="none" w:sz="0" w:space="0" w:color="auto"/>
        <w:left w:val="none" w:sz="0" w:space="0" w:color="auto"/>
        <w:bottom w:val="none" w:sz="0" w:space="0" w:color="auto"/>
        <w:right w:val="none" w:sz="0" w:space="0" w:color="auto"/>
      </w:divBdr>
      <w:divsChild>
        <w:div w:id="1635021950">
          <w:marLeft w:val="1080"/>
          <w:marRight w:val="0"/>
          <w:marTop w:val="100"/>
          <w:marBottom w:val="0"/>
          <w:divBdr>
            <w:top w:val="none" w:sz="0" w:space="0" w:color="auto"/>
            <w:left w:val="none" w:sz="0" w:space="0" w:color="auto"/>
            <w:bottom w:val="none" w:sz="0" w:space="0" w:color="auto"/>
            <w:right w:val="none" w:sz="0" w:space="0" w:color="auto"/>
          </w:divBdr>
        </w:div>
        <w:div w:id="2117170048">
          <w:marLeft w:val="1080"/>
          <w:marRight w:val="0"/>
          <w:marTop w:val="100"/>
          <w:marBottom w:val="0"/>
          <w:divBdr>
            <w:top w:val="none" w:sz="0" w:space="0" w:color="auto"/>
            <w:left w:val="none" w:sz="0" w:space="0" w:color="auto"/>
            <w:bottom w:val="none" w:sz="0" w:space="0" w:color="auto"/>
            <w:right w:val="none" w:sz="0" w:space="0" w:color="auto"/>
          </w:divBdr>
        </w:div>
      </w:divsChild>
    </w:div>
    <w:div w:id="572545895">
      <w:bodyDiv w:val="1"/>
      <w:marLeft w:val="0"/>
      <w:marRight w:val="0"/>
      <w:marTop w:val="0"/>
      <w:marBottom w:val="0"/>
      <w:divBdr>
        <w:top w:val="none" w:sz="0" w:space="0" w:color="auto"/>
        <w:left w:val="none" w:sz="0" w:space="0" w:color="auto"/>
        <w:bottom w:val="none" w:sz="0" w:space="0" w:color="auto"/>
        <w:right w:val="none" w:sz="0" w:space="0" w:color="auto"/>
      </w:divBdr>
      <w:divsChild>
        <w:div w:id="506211903">
          <w:marLeft w:val="1080"/>
          <w:marRight w:val="0"/>
          <w:marTop w:val="100"/>
          <w:marBottom w:val="0"/>
          <w:divBdr>
            <w:top w:val="none" w:sz="0" w:space="0" w:color="auto"/>
            <w:left w:val="none" w:sz="0" w:space="0" w:color="auto"/>
            <w:bottom w:val="none" w:sz="0" w:space="0" w:color="auto"/>
            <w:right w:val="none" w:sz="0" w:space="0" w:color="auto"/>
          </w:divBdr>
        </w:div>
        <w:div w:id="1932856655">
          <w:marLeft w:val="1080"/>
          <w:marRight w:val="0"/>
          <w:marTop w:val="100"/>
          <w:marBottom w:val="0"/>
          <w:divBdr>
            <w:top w:val="none" w:sz="0" w:space="0" w:color="auto"/>
            <w:left w:val="none" w:sz="0" w:space="0" w:color="auto"/>
            <w:bottom w:val="none" w:sz="0" w:space="0" w:color="auto"/>
            <w:right w:val="none" w:sz="0" w:space="0" w:color="auto"/>
          </w:divBdr>
        </w:div>
      </w:divsChild>
    </w:div>
    <w:div w:id="672299557">
      <w:bodyDiv w:val="1"/>
      <w:marLeft w:val="0"/>
      <w:marRight w:val="0"/>
      <w:marTop w:val="0"/>
      <w:marBottom w:val="0"/>
      <w:divBdr>
        <w:top w:val="none" w:sz="0" w:space="0" w:color="auto"/>
        <w:left w:val="none" w:sz="0" w:space="0" w:color="auto"/>
        <w:bottom w:val="none" w:sz="0" w:space="0" w:color="auto"/>
        <w:right w:val="none" w:sz="0" w:space="0" w:color="auto"/>
      </w:divBdr>
      <w:divsChild>
        <w:div w:id="1783720338">
          <w:marLeft w:val="547"/>
          <w:marRight w:val="0"/>
          <w:marTop w:val="0"/>
          <w:marBottom w:val="0"/>
          <w:divBdr>
            <w:top w:val="none" w:sz="0" w:space="0" w:color="auto"/>
            <w:left w:val="none" w:sz="0" w:space="0" w:color="auto"/>
            <w:bottom w:val="none" w:sz="0" w:space="0" w:color="auto"/>
            <w:right w:val="none" w:sz="0" w:space="0" w:color="auto"/>
          </w:divBdr>
        </w:div>
      </w:divsChild>
    </w:div>
    <w:div w:id="803280837">
      <w:bodyDiv w:val="1"/>
      <w:marLeft w:val="0"/>
      <w:marRight w:val="0"/>
      <w:marTop w:val="0"/>
      <w:marBottom w:val="0"/>
      <w:divBdr>
        <w:top w:val="none" w:sz="0" w:space="0" w:color="auto"/>
        <w:left w:val="none" w:sz="0" w:space="0" w:color="auto"/>
        <w:bottom w:val="none" w:sz="0" w:space="0" w:color="auto"/>
        <w:right w:val="none" w:sz="0" w:space="0" w:color="auto"/>
      </w:divBdr>
      <w:divsChild>
        <w:div w:id="1400177279">
          <w:marLeft w:val="1080"/>
          <w:marRight w:val="0"/>
          <w:marTop w:val="100"/>
          <w:marBottom w:val="0"/>
          <w:divBdr>
            <w:top w:val="none" w:sz="0" w:space="0" w:color="auto"/>
            <w:left w:val="none" w:sz="0" w:space="0" w:color="auto"/>
            <w:bottom w:val="none" w:sz="0" w:space="0" w:color="auto"/>
            <w:right w:val="none" w:sz="0" w:space="0" w:color="auto"/>
          </w:divBdr>
        </w:div>
        <w:div w:id="1310936778">
          <w:marLeft w:val="1080"/>
          <w:marRight w:val="0"/>
          <w:marTop w:val="100"/>
          <w:marBottom w:val="0"/>
          <w:divBdr>
            <w:top w:val="none" w:sz="0" w:space="0" w:color="auto"/>
            <w:left w:val="none" w:sz="0" w:space="0" w:color="auto"/>
            <w:bottom w:val="none" w:sz="0" w:space="0" w:color="auto"/>
            <w:right w:val="none" w:sz="0" w:space="0" w:color="auto"/>
          </w:divBdr>
        </w:div>
      </w:divsChild>
    </w:div>
    <w:div w:id="819006342">
      <w:bodyDiv w:val="1"/>
      <w:marLeft w:val="0"/>
      <w:marRight w:val="0"/>
      <w:marTop w:val="0"/>
      <w:marBottom w:val="0"/>
      <w:divBdr>
        <w:top w:val="none" w:sz="0" w:space="0" w:color="auto"/>
        <w:left w:val="none" w:sz="0" w:space="0" w:color="auto"/>
        <w:bottom w:val="none" w:sz="0" w:space="0" w:color="auto"/>
        <w:right w:val="none" w:sz="0" w:space="0" w:color="auto"/>
      </w:divBdr>
      <w:divsChild>
        <w:div w:id="1083524976">
          <w:marLeft w:val="0"/>
          <w:marRight w:val="0"/>
          <w:marTop w:val="0"/>
          <w:marBottom w:val="0"/>
          <w:divBdr>
            <w:top w:val="none" w:sz="0" w:space="0" w:color="auto"/>
            <w:left w:val="none" w:sz="0" w:space="0" w:color="auto"/>
            <w:bottom w:val="none" w:sz="0" w:space="0" w:color="auto"/>
            <w:right w:val="none" w:sz="0" w:space="0" w:color="auto"/>
          </w:divBdr>
        </w:div>
      </w:divsChild>
    </w:div>
    <w:div w:id="952250140">
      <w:bodyDiv w:val="1"/>
      <w:marLeft w:val="0"/>
      <w:marRight w:val="0"/>
      <w:marTop w:val="0"/>
      <w:marBottom w:val="0"/>
      <w:divBdr>
        <w:top w:val="none" w:sz="0" w:space="0" w:color="auto"/>
        <w:left w:val="none" w:sz="0" w:space="0" w:color="auto"/>
        <w:bottom w:val="none" w:sz="0" w:space="0" w:color="auto"/>
        <w:right w:val="none" w:sz="0" w:space="0" w:color="auto"/>
      </w:divBdr>
      <w:divsChild>
        <w:div w:id="876816348">
          <w:marLeft w:val="0"/>
          <w:marRight w:val="0"/>
          <w:marTop w:val="0"/>
          <w:marBottom w:val="0"/>
          <w:divBdr>
            <w:top w:val="none" w:sz="0" w:space="0" w:color="auto"/>
            <w:left w:val="none" w:sz="0" w:space="0" w:color="auto"/>
            <w:bottom w:val="none" w:sz="0" w:space="0" w:color="auto"/>
            <w:right w:val="none" w:sz="0" w:space="0" w:color="auto"/>
          </w:divBdr>
        </w:div>
      </w:divsChild>
    </w:div>
    <w:div w:id="1108547047">
      <w:bodyDiv w:val="1"/>
      <w:marLeft w:val="0"/>
      <w:marRight w:val="0"/>
      <w:marTop w:val="0"/>
      <w:marBottom w:val="0"/>
      <w:divBdr>
        <w:top w:val="none" w:sz="0" w:space="0" w:color="auto"/>
        <w:left w:val="none" w:sz="0" w:space="0" w:color="auto"/>
        <w:bottom w:val="none" w:sz="0" w:space="0" w:color="auto"/>
        <w:right w:val="none" w:sz="0" w:space="0" w:color="auto"/>
      </w:divBdr>
      <w:divsChild>
        <w:div w:id="794714020">
          <w:marLeft w:val="1555"/>
          <w:marRight w:val="0"/>
          <w:marTop w:val="96"/>
          <w:marBottom w:val="0"/>
          <w:divBdr>
            <w:top w:val="none" w:sz="0" w:space="0" w:color="auto"/>
            <w:left w:val="none" w:sz="0" w:space="0" w:color="auto"/>
            <w:bottom w:val="none" w:sz="0" w:space="0" w:color="auto"/>
            <w:right w:val="none" w:sz="0" w:space="0" w:color="auto"/>
          </w:divBdr>
        </w:div>
        <w:div w:id="319116604">
          <w:marLeft w:val="1555"/>
          <w:marRight w:val="0"/>
          <w:marTop w:val="96"/>
          <w:marBottom w:val="0"/>
          <w:divBdr>
            <w:top w:val="none" w:sz="0" w:space="0" w:color="auto"/>
            <w:left w:val="none" w:sz="0" w:space="0" w:color="auto"/>
            <w:bottom w:val="none" w:sz="0" w:space="0" w:color="auto"/>
            <w:right w:val="none" w:sz="0" w:space="0" w:color="auto"/>
          </w:divBdr>
        </w:div>
        <w:div w:id="1326515282">
          <w:marLeft w:val="1555"/>
          <w:marRight w:val="0"/>
          <w:marTop w:val="96"/>
          <w:marBottom w:val="0"/>
          <w:divBdr>
            <w:top w:val="none" w:sz="0" w:space="0" w:color="auto"/>
            <w:left w:val="none" w:sz="0" w:space="0" w:color="auto"/>
            <w:bottom w:val="none" w:sz="0" w:space="0" w:color="auto"/>
            <w:right w:val="none" w:sz="0" w:space="0" w:color="auto"/>
          </w:divBdr>
        </w:div>
        <w:div w:id="1665471307">
          <w:marLeft w:val="1555"/>
          <w:marRight w:val="0"/>
          <w:marTop w:val="96"/>
          <w:marBottom w:val="0"/>
          <w:divBdr>
            <w:top w:val="none" w:sz="0" w:space="0" w:color="auto"/>
            <w:left w:val="none" w:sz="0" w:space="0" w:color="auto"/>
            <w:bottom w:val="none" w:sz="0" w:space="0" w:color="auto"/>
            <w:right w:val="none" w:sz="0" w:space="0" w:color="auto"/>
          </w:divBdr>
        </w:div>
      </w:divsChild>
    </w:div>
    <w:div w:id="1516918756">
      <w:bodyDiv w:val="1"/>
      <w:marLeft w:val="0"/>
      <w:marRight w:val="0"/>
      <w:marTop w:val="0"/>
      <w:marBottom w:val="0"/>
      <w:divBdr>
        <w:top w:val="none" w:sz="0" w:space="0" w:color="auto"/>
        <w:left w:val="none" w:sz="0" w:space="0" w:color="auto"/>
        <w:bottom w:val="none" w:sz="0" w:space="0" w:color="auto"/>
        <w:right w:val="none" w:sz="0" w:space="0" w:color="auto"/>
      </w:divBdr>
      <w:divsChild>
        <w:div w:id="608853197">
          <w:marLeft w:val="0"/>
          <w:marRight w:val="0"/>
          <w:marTop w:val="0"/>
          <w:marBottom w:val="0"/>
          <w:divBdr>
            <w:top w:val="none" w:sz="0" w:space="0" w:color="auto"/>
            <w:left w:val="none" w:sz="0" w:space="0" w:color="auto"/>
            <w:bottom w:val="none" w:sz="0" w:space="0" w:color="auto"/>
            <w:right w:val="none" w:sz="0" w:space="0" w:color="auto"/>
          </w:divBdr>
        </w:div>
      </w:divsChild>
    </w:div>
    <w:div w:id="1782530241">
      <w:bodyDiv w:val="1"/>
      <w:marLeft w:val="0"/>
      <w:marRight w:val="0"/>
      <w:marTop w:val="0"/>
      <w:marBottom w:val="0"/>
      <w:divBdr>
        <w:top w:val="none" w:sz="0" w:space="0" w:color="auto"/>
        <w:left w:val="none" w:sz="0" w:space="0" w:color="auto"/>
        <w:bottom w:val="none" w:sz="0" w:space="0" w:color="auto"/>
        <w:right w:val="none" w:sz="0" w:space="0" w:color="auto"/>
      </w:divBdr>
    </w:div>
    <w:div w:id="2075739384">
      <w:bodyDiv w:val="1"/>
      <w:marLeft w:val="0"/>
      <w:marRight w:val="0"/>
      <w:marTop w:val="0"/>
      <w:marBottom w:val="0"/>
      <w:divBdr>
        <w:top w:val="none" w:sz="0" w:space="0" w:color="auto"/>
        <w:left w:val="none" w:sz="0" w:space="0" w:color="auto"/>
        <w:bottom w:val="none" w:sz="0" w:space="0" w:color="auto"/>
        <w:right w:val="none" w:sz="0" w:space="0" w:color="auto"/>
      </w:divBdr>
      <w:divsChild>
        <w:div w:id="15680314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800</Words>
  <Characters>4563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Partipilo, Gina</dc:creator>
  <cp:keywords/>
  <dc:description/>
  <cp:lastModifiedBy>Partipilo, Gina</cp:lastModifiedBy>
  <cp:revision>3</cp:revision>
  <dcterms:created xsi:type="dcterms:W3CDTF">2024-06-15T20:02:00Z</dcterms:created>
  <dcterms:modified xsi:type="dcterms:W3CDTF">2024-06-15T20:02:00Z</dcterms:modified>
</cp:coreProperties>
</file>